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7D2EB1">
      <w:pPr>
        <w:spacing w:line="560" w:lineRule="exact"/>
        <w:rPr>
          <w:rFonts w:hint="eastAsia" w:ascii="黑体" w:hAnsi="黑体" w:eastAsia="黑体" w:cs="黑体"/>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2</w:t>
      </w:r>
    </w:p>
    <w:p w14:paraId="3ADA7A79">
      <w:pPr>
        <w:spacing w:line="560" w:lineRule="exact"/>
        <w:jc w:val="center"/>
        <w:rPr>
          <w:rFonts w:hint="eastAsia" w:ascii="方正小标宋简体" w:hAnsi="Calibri" w:eastAsia="方正小标宋简体"/>
          <w:sz w:val="40"/>
          <w:szCs w:val="32"/>
        </w:rPr>
      </w:pPr>
    </w:p>
    <w:p w14:paraId="2605898E">
      <w:pPr>
        <w:spacing w:line="560" w:lineRule="exact"/>
        <w:jc w:val="center"/>
        <w:rPr>
          <w:rFonts w:hint="eastAsia" w:ascii="方正小标宋简体" w:hAnsi="Calibri" w:eastAsia="方正小标宋简体"/>
          <w:sz w:val="36"/>
          <w:szCs w:val="36"/>
        </w:rPr>
      </w:pPr>
      <w:r>
        <w:rPr>
          <w:rFonts w:hint="eastAsia" w:ascii="方正小标宋简体" w:hAnsi="Calibri" w:eastAsia="方正小标宋简体"/>
          <w:sz w:val="36"/>
          <w:szCs w:val="36"/>
        </w:rPr>
        <w:t>省级机关医院服务介绍及预约方式</w:t>
      </w:r>
    </w:p>
    <w:p w14:paraId="426A88BA">
      <w:pPr>
        <w:rPr>
          <w:rFonts w:ascii="宋体" w:hAnsi="宋体"/>
          <w:b/>
          <w:sz w:val="32"/>
          <w:szCs w:val="32"/>
        </w:rPr>
      </w:pPr>
    </w:p>
    <w:p w14:paraId="105626D8">
      <w:pPr>
        <w:spacing w:line="500" w:lineRule="exact"/>
        <w:rPr>
          <w:rFonts w:hint="eastAsia" w:ascii="宋体" w:hAnsi="宋体"/>
          <w:b/>
          <w:sz w:val="28"/>
          <w:szCs w:val="28"/>
        </w:rPr>
      </w:pPr>
      <w:r>
        <w:rPr>
          <w:rFonts w:hint="eastAsia" w:ascii="宋体" w:hAnsi="宋体" w:cs="黑体"/>
          <w:b/>
          <w:sz w:val="28"/>
          <w:szCs w:val="28"/>
        </w:rPr>
        <w:t>一、202</w:t>
      </w:r>
      <w:r>
        <w:rPr>
          <w:rFonts w:hint="eastAsia" w:ascii="宋体" w:hAnsi="宋体" w:cs="黑体"/>
          <w:b/>
          <w:sz w:val="28"/>
          <w:szCs w:val="28"/>
          <w:lang w:val="en-US" w:eastAsia="zh-CN"/>
        </w:rPr>
        <w:t>6</w:t>
      </w:r>
      <w:r>
        <w:rPr>
          <w:rFonts w:hint="eastAsia" w:ascii="宋体" w:hAnsi="宋体" w:cs="黑体"/>
          <w:b/>
          <w:sz w:val="28"/>
          <w:szCs w:val="28"/>
        </w:rPr>
        <w:t>河海大学教职工体检预约流程说明</w:t>
      </w:r>
    </w:p>
    <w:p w14:paraId="512ED9FB">
      <w:pPr>
        <w:spacing w:line="500" w:lineRule="exact"/>
        <w:rPr>
          <w:rFonts w:hint="eastAsia" w:ascii="宋体" w:hAnsi="宋体"/>
          <w:sz w:val="28"/>
          <w:szCs w:val="28"/>
        </w:rPr>
      </w:pPr>
      <w:r>
        <w:rPr>
          <w:rFonts w:hint="eastAsia" w:ascii="宋体" w:hAnsi="宋体"/>
          <w:sz w:val="28"/>
          <w:szCs w:val="28"/>
        </w:rPr>
        <w:t>尊敬的河海大学教职工：</w:t>
      </w:r>
    </w:p>
    <w:p w14:paraId="67C6DFE3">
      <w:pPr>
        <w:spacing w:line="500" w:lineRule="exact"/>
        <w:ind w:firstLine="560" w:firstLineChars="200"/>
        <w:rPr>
          <w:rFonts w:hint="eastAsia" w:ascii="宋体" w:hAnsi="宋体"/>
          <w:sz w:val="28"/>
          <w:szCs w:val="28"/>
        </w:rPr>
      </w:pPr>
      <w:r>
        <w:rPr>
          <w:rFonts w:hint="eastAsia" w:ascii="宋体" w:hAnsi="宋体"/>
          <w:sz w:val="28"/>
          <w:szCs w:val="28"/>
        </w:rPr>
        <w:t>您好！感谢您选择江苏省省级机关医院健康管理中心，我们将竭尽全力守护您的健康！为了提高体检服务质量和工作效率，创造快速便捷的体检流程，请您遵守下列体检要求：</w:t>
      </w:r>
    </w:p>
    <w:p w14:paraId="58AC3F01">
      <w:pPr>
        <w:spacing w:line="500" w:lineRule="exact"/>
        <w:ind w:firstLine="562" w:firstLineChars="200"/>
        <w:rPr>
          <w:rFonts w:hint="eastAsia" w:ascii="宋体" w:hAnsi="宋体"/>
          <w:sz w:val="28"/>
          <w:szCs w:val="28"/>
        </w:rPr>
      </w:pPr>
      <w:r>
        <w:rPr>
          <w:rFonts w:hint="eastAsia" w:ascii="宋体" w:hAnsi="宋体"/>
          <w:b/>
          <w:bCs/>
          <w:sz w:val="28"/>
          <w:szCs w:val="28"/>
        </w:rPr>
        <w:t>（一）贵单位在职人员体检日期为</w:t>
      </w:r>
      <w:r>
        <w:rPr>
          <w:rFonts w:hint="eastAsia" w:ascii="宋体" w:hAnsi="宋体"/>
          <w:sz w:val="28"/>
          <w:szCs w:val="28"/>
        </w:rPr>
        <w:t xml:space="preserve">： </w:t>
      </w:r>
      <w:r>
        <w:rPr>
          <w:rFonts w:hint="eastAsia" w:ascii="宋体" w:hAnsi="宋体" w:eastAsia="宋体" w:cs="Times New Roman"/>
          <w:sz w:val="28"/>
          <w:szCs w:val="28"/>
        </w:rPr>
        <w:t>202</w:t>
      </w:r>
      <w:r>
        <w:rPr>
          <w:rFonts w:hint="eastAsia" w:ascii="宋体" w:hAnsi="宋体" w:eastAsia="宋体" w:cs="Times New Roman"/>
          <w:sz w:val="28"/>
          <w:szCs w:val="28"/>
          <w:lang w:val="en-US" w:eastAsia="zh-CN"/>
        </w:rPr>
        <w:t>6</w:t>
      </w:r>
      <w:r>
        <w:rPr>
          <w:rFonts w:hint="eastAsia" w:ascii="宋体" w:hAnsi="宋体" w:eastAsia="宋体" w:cs="Times New Roman"/>
          <w:sz w:val="28"/>
          <w:szCs w:val="28"/>
        </w:rPr>
        <w:t>年</w:t>
      </w:r>
      <w:r>
        <w:rPr>
          <w:rFonts w:hint="eastAsia" w:ascii="宋体" w:hAnsi="宋体" w:eastAsia="宋体" w:cs="Times New Roman"/>
          <w:sz w:val="28"/>
          <w:szCs w:val="28"/>
          <w:lang w:val="en-US" w:eastAsia="zh-CN"/>
        </w:rPr>
        <w:t>4</w:t>
      </w:r>
      <w:r>
        <w:rPr>
          <w:rFonts w:hint="eastAsia" w:ascii="宋体" w:hAnsi="宋体" w:eastAsia="宋体" w:cs="Times New Roman"/>
          <w:sz w:val="28"/>
          <w:szCs w:val="28"/>
        </w:rPr>
        <w:t>月</w:t>
      </w:r>
      <w:r>
        <w:rPr>
          <w:rFonts w:hint="eastAsia" w:ascii="宋体" w:hAnsi="宋体" w:eastAsia="宋体" w:cs="Times New Roman"/>
          <w:sz w:val="28"/>
          <w:szCs w:val="28"/>
          <w:lang w:val="en-US" w:eastAsia="zh-CN"/>
        </w:rPr>
        <w:t>13</w:t>
      </w:r>
      <w:r>
        <w:rPr>
          <w:rFonts w:hint="eastAsia" w:ascii="宋体" w:hAnsi="宋体" w:eastAsia="宋体" w:cs="Times New Roman"/>
          <w:sz w:val="28"/>
          <w:szCs w:val="28"/>
        </w:rPr>
        <w:t>日至202</w:t>
      </w:r>
      <w:r>
        <w:rPr>
          <w:rFonts w:hint="eastAsia" w:ascii="宋体" w:hAnsi="宋体" w:eastAsia="宋体" w:cs="Times New Roman"/>
          <w:sz w:val="28"/>
          <w:szCs w:val="28"/>
          <w:lang w:val="en-US" w:eastAsia="zh-CN"/>
        </w:rPr>
        <w:t>6</w:t>
      </w:r>
      <w:r>
        <w:rPr>
          <w:rFonts w:hint="eastAsia" w:ascii="宋体" w:hAnsi="宋体" w:eastAsia="宋体" w:cs="Times New Roman"/>
          <w:sz w:val="28"/>
          <w:szCs w:val="28"/>
        </w:rPr>
        <w:t>年</w:t>
      </w:r>
      <w:r>
        <w:rPr>
          <w:rFonts w:hint="eastAsia" w:ascii="宋体" w:hAnsi="宋体" w:eastAsia="宋体" w:cs="Times New Roman"/>
          <w:sz w:val="28"/>
          <w:szCs w:val="28"/>
          <w:lang w:val="en-US" w:eastAsia="zh-CN"/>
        </w:rPr>
        <w:t>9</w:t>
      </w:r>
      <w:r>
        <w:rPr>
          <w:rFonts w:hint="eastAsia" w:ascii="宋体" w:hAnsi="宋体" w:eastAsia="宋体" w:cs="Times New Roman"/>
          <w:sz w:val="28"/>
          <w:szCs w:val="28"/>
        </w:rPr>
        <w:t>月3</w:t>
      </w:r>
      <w:r>
        <w:rPr>
          <w:rFonts w:hint="eastAsia" w:ascii="宋体" w:hAnsi="宋体" w:eastAsia="宋体" w:cs="Times New Roman"/>
          <w:sz w:val="28"/>
          <w:szCs w:val="28"/>
          <w:lang w:val="en-US" w:eastAsia="zh-CN"/>
        </w:rPr>
        <w:t>0</w:t>
      </w:r>
      <w:r>
        <w:rPr>
          <w:rFonts w:hint="eastAsia" w:ascii="宋体" w:hAnsi="宋体" w:eastAsia="宋体" w:cs="Times New Roman"/>
          <w:sz w:val="28"/>
          <w:szCs w:val="28"/>
        </w:rPr>
        <w:t>日（具体日期须线上预约）。体检</w:t>
      </w:r>
      <w:r>
        <w:rPr>
          <w:rFonts w:hint="eastAsia" w:ascii="宋体" w:hAnsi="宋体"/>
          <w:sz w:val="28"/>
          <w:szCs w:val="28"/>
        </w:rPr>
        <w:t>时间为工作日周一至周六上午7:30-11:00（空腹抽血截止时间为10：00）。</w:t>
      </w:r>
    </w:p>
    <w:p w14:paraId="16FAA5CB">
      <w:pPr>
        <w:spacing w:line="500" w:lineRule="exact"/>
        <w:ind w:firstLine="562" w:firstLineChars="200"/>
        <w:rPr>
          <w:rFonts w:hint="eastAsia" w:ascii="宋体" w:hAnsi="宋体"/>
          <w:sz w:val="28"/>
          <w:szCs w:val="28"/>
        </w:rPr>
      </w:pPr>
      <w:r>
        <w:rPr>
          <w:rFonts w:hint="eastAsia" w:ascii="宋体" w:hAnsi="宋体"/>
          <w:b/>
          <w:bCs/>
          <w:sz w:val="28"/>
          <w:szCs w:val="28"/>
        </w:rPr>
        <w:t>（二）江苏省省级机关医院健康管理中心全面推行预约体检制度</w:t>
      </w:r>
      <w:r>
        <w:rPr>
          <w:rFonts w:hint="eastAsia" w:ascii="宋体" w:hAnsi="宋体"/>
          <w:sz w:val="28"/>
          <w:szCs w:val="28"/>
        </w:rPr>
        <w:t>，预约方式：关注“江苏省省级机关医院健康管理中心”微信公众号→点击《体检预约》→进入主页点击《</w:t>
      </w:r>
      <w:r>
        <w:rPr>
          <w:rFonts w:hint="eastAsia" w:ascii="宋体" w:hAnsi="宋体"/>
          <w:sz w:val="28"/>
          <w:szCs w:val="28"/>
          <w:lang w:val="en-US" w:eastAsia="zh-CN"/>
        </w:rPr>
        <w:t>体检预约（单位体检</w:t>
      </w:r>
      <w:r>
        <w:rPr>
          <w:rFonts w:hint="eastAsia" w:ascii="宋体" w:hAnsi="宋体"/>
          <w:sz w:val="28"/>
          <w:szCs w:val="28"/>
          <w:lang w:eastAsia="zh-CN"/>
        </w:rPr>
        <w:t>）</w:t>
      </w:r>
      <w:r>
        <w:rPr>
          <w:rFonts w:hint="eastAsia" w:ascii="宋体" w:hAnsi="宋体"/>
          <w:sz w:val="28"/>
          <w:szCs w:val="28"/>
        </w:rPr>
        <w:t>》（需输入手机号码获取验证码并登录）→选择所在单位→选择需要预约人员（填写个人姓名和身份证号码）→查看可预约数量并选择所需要预约的时间→提交预约、提示预约成功。为避免因体检人员过于集中导致教职员工候检时间过长，请您务必提前预约或进行预约时间修改。并按照预约日期参加体检，便于我们充分准备，保证体检服务质量。因护照等原因微信预约不成功的教职工可联系咨询电话。</w:t>
      </w:r>
    </w:p>
    <w:p w14:paraId="04275F17">
      <w:pPr>
        <w:spacing w:line="500" w:lineRule="exact"/>
        <w:ind w:firstLine="562" w:firstLineChars="200"/>
        <w:rPr>
          <w:rFonts w:hint="eastAsia" w:ascii="宋体" w:hAnsi="宋体"/>
          <w:sz w:val="28"/>
          <w:szCs w:val="28"/>
        </w:rPr>
      </w:pPr>
      <w:r>
        <w:rPr>
          <w:rFonts w:hint="eastAsia" w:ascii="宋体" w:hAnsi="宋体"/>
          <w:b/>
          <w:bCs/>
          <w:sz w:val="28"/>
          <w:szCs w:val="28"/>
        </w:rPr>
        <w:t>（三）咨询电话</w:t>
      </w:r>
      <w:r>
        <w:rPr>
          <w:rFonts w:hint="eastAsia" w:ascii="宋体" w:hAnsi="宋体"/>
          <w:sz w:val="28"/>
          <w:szCs w:val="28"/>
        </w:rPr>
        <w:t>：025-83310056、025-89699050（工作日7:30-17：00）</w:t>
      </w:r>
    </w:p>
    <w:p w14:paraId="7FCE316A">
      <w:pPr>
        <w:spacing w:line="500" w:lineRule="exact"/>
        <w:ind w:firstLine="562" w:firstLineChars="200"/>
        <w:rPr>
          <w:rFonts w:hint="eastAsia" w:ascii="宋体" w:hAnsi="宋体" w:eastAsia="宋体"/>
          <w:color w:val="000000"/>
          <w:sz w:val="28"/>
          <w:szCs w:val="28"/>
          <w:highlight w:val="none"/>
          <w:lang w:eastAsia="zh-CN"/>
        </w:rPr>
      </w:pPr>
      <w:r>
        <w:rPr>
          <w:rFonts w:hint="eastAsia" w:ascii="宋体" w:hAnsi="宋体"/>
          <w:b/>
          <w:bCs/>
          <w:sz w:val="28"/>
          <w:szCs w:val="28"/>
        </w:rPr>
        <w:t>（四）</w:t>
      </w:r>
      <w:r>
        <w:rPr>
          <w:rFonts w:hint="eastAsia" w:ascii="宋体" w:hAnsi="宋体"/>
          <w:b/>
          <w:bCs/>
          <w:color w:val="000000"/>
          <w:sz w:val="28"/>
          <w:szCs w:val="28"/>
          <w:highlight w:val="none"/>
        </w:rPr>
        <w:t>如教职工家属同时前来体检</w:t>
      </w:r>
      <w:r>
        <w:rPr>
          <w:rFonts w:hint="eastAsia" w:ascii="宋体" w:hAnsi="宋体"/>
          <w:color w:val="000000"/>
          <w:sz w:val="28"/>
          <w:szCs w:val="28"/>
          <w:highlight w:val="none"/>
        </w:rPr>
        <w:t>，可享受教职工优惠价</w:t>
      </w:r>
      <w:r>
        <w:rPr>
          <w:rFonts w:hint="eastAsia" w:ascii="宋体" w:hAnsi="宋体"/>
          <w:color w:val="000000"/>
          <w:sz w:val="28"/>
          <w:szCs w:val="28"/>
          <w:highlight w:val="none"/>
          <w:lang w:eastAsia="zh-CN"/>
        </w:rPr>
        <w:t>：</w:t>
      </w:r>
      <w:r>
        <w:rPr>
          <w:rFonts w:hint="eastAsia" w:ascii="宋体" w:hAnsi="宋体"/>
          <w:color w:val="000000"/>
          <w:sz w:val="28"/>
          <w:szCs w:val="28"/>
          <w:highlight w:val="none"/>
          <w:lang w:val="en-US" w:eastAsia="zh-CN"/>
        </w:rPr>
        <w:t>办理方式：</w:t>
      </w:r>
      <w:r>
        <w:rPr>
          <w:rFonts w:hint="eastAsia" w:ascii="宋体" w:hAnsi="宋体"/>
          <w:color w:val="000000"/>
          <w:sz w:val="28"/>
          <w:szCs w:val="28"/>
          <w:highlight w:val="none"/>
        </w:rPr>
        <w:t>1、可和教职工体检时一起来办理；2、教职工体检时可提前帮办理家属套餐，家属后期携带缴费凭证直接来体检</w:t>
      </w:r>
      <w:r>
        <w:rPr>
          <w:rFonts w:hint="eastAsia" w:ascii="宋体" w:hAnsi="宋体"/>
          <w:color w:val="000000"/>
          <w:sz w:val="28"/>
          <w:szCs w:val="28"/>
          <w:highlight w:val="none"/>
          <w:lang w:eastAsia="zh-CN"/>
        </w:rPr>
        <w:t>。</w:t>
      </w:r>
    </w:p>
    <w:p w14:paraId="280A4410">
      <w:pPr>
        <w:spacing w:line="500" w:lineRule="exact"/>
        <w:ind w:firstLine="562" w:firstLineChars="200"/>
        <w:rPr>
          <w:rFonts w:hint="eastAsia" w:ascii="宋体" w:hAnsi="宋体"/>
          <w:sz w:val="28"/>
          <w:szCs w:val="28"/>
        </w:rPr>
      </w:pPr>
      <w:r>
        <w:rPr>
          <w:rFonts w:hint="eastAsia" w:ascii="宋体" w:hAnsi="宋体"/>
          <w:b/>
          <w:bCs/>
          <w:sz w:val="28"/>
          <w:szCs w:val="28"/>
        </w:rPr>
        <w:t>（</w:t>
      </w:r>
      <w:r>
        <w:rPr>
          <w:rFonts w:hint="eastAsia" w:ascii="宋体" w:hAnsi="宋体"/>
          <w:b/>
          <w:bCs/>
          <w:sz w:val="28"/>
          <w:szCs w:val="28"/>
          <w:lang w:val="en-US" w:eastAsia="zh-CN"/>
        </w:rPr>
        <w:t>五</w:t>
      </w:r>
      <w:r>
        <w:rPr>
          <w:rFonts w:hint="eastAsia" w:ascii="宋体" w:hAnsi="宋体"/>
          <w:b/>
          <w:bCs/>
          <w:sz w:val="28"/>
          <w:szCs w:val="28"/>
        </w:rPr>
        <w:t>）地址：</w:t>
      </w:r>
      <w:r>
        <w:rPr>
          <w:rFonts w:hint="eastAsia"/>
          <w:sz w:val="28"/>
          <w:szCs w:val="28"/>
          <w:lang w:eastAsia="zh-CN"/>
        </w:rPr>
        <w:t>南京市鼓楼区颐和路2号（原泽存书库）。可乘地铁</w:t>
      </w:r>
      <w:r>
        <w:rPr>
          <w:rFonts w:hint="eastAsia"/>
          <w:sz w:val="28"/>
          <w:szCs w:val="28"/>
          <w:lang w:val="en-US" w:eastAsia="zh-CN"/>
        </w:rPr>
        <w:t>5</w:t>
      </w:r>
      <w:r>
        <w:rPr>
          <w:rFonts w:hint="eastAsia"/>
          <w:sz w:val="28"/>
          <w:szCs w:val="28"/>
          <w:lang w:eastAsia="zh-CN"/>
        </w:rPr>
        <w:t>号线至青春广场站、地铁</w:t>
      </w:r>
      <w:r>
        <w:rPr>
          <w:rFonts w:hint="eastAsia"/>
          <w:sz w:val="28"/>
          <w:szCs w:val="28"/>
          <w:lang w:val="en-US" w:eastAsia="zh-CN"/>
        </w:rPr>
        <w:t>4</w:t>
      </w:r>
      <w:r>
        <w:rPr>
          <w:rFonts w:hint="eastAsia"/>
          <w:sz w:val="28"/>
          <w:szCs w:val="28"/>
          <w:lang w:eastAsia="zh-CN"/>
        </w:rPr>
        <w:t>号线至云南路站、</w:t>
      </w:r>
      <w:r>
        <w:rPr>
          <w:rFonts w:hint="eastAsia"/>
          <w:sz w:val="28"/>
          <w:szCs w:val="28"/>
          <w:lang w:val="en-US" w:eastAsia="zh-CN"/>
        </w:rPr>
        <w:t>1</w:t>
      </w:r>
      <w:r>
        <w:rPr>
          <w:rFonts w:hint="eastAsia"/>
          <w:sz w:val="28"/>
          <w:szCs w:val="28"/>
          <w:lang w:eastAsia="zh-CN"/>
        </w:rPr>
        <w:t>号线至玄武门站，公交 3 路、8 路、22 路、42 路、74 路、78 路至傅佐路站，乘 318 路至江苏路西站</w:t>
      </w:r>
      <w:r>
        <w:rPr>
          <w:rFonts w:hint="eastAsia"/>
          <w:sz w:val="28"/>
          <w:szCs w:val="28"/>
        </w:rPr>
        <w:t>。</w:t>
      </w:r>
    </w:p>
    <w:p w14:paraId="1EBFBD0F">
      <w:pPr>
        <w:pStyle w:val="10"/>
        <w:rPr>
          <w:rFonts w:hint="eastAsia"/>
        </w:rPr>
      </w:pPr>
    </w:p>
    <w:p w14:paraId="1EBD5840">
      <w:pPr>
        <w:spacing w:line="500" w:lineRule="exact"/>
        <w:rPr>
          <w:rFonts w:hint="eastAsia" w:ascii="宋体" w:hAnsi="宋体"/>
          <w:sz w:val="30"/>
          <w:szCs w:val="30"/>
        </w:rPr>
      </w:pPr>
      <w:r>
        <w:rPr>
          <w:rFonts w:hint="eastAsia"/>
          <w:sz w:val="30"/>
          <w:szCs w:val="30"/>
        </w:rPr>
        <w:drawing>
          <wp:anchor distT="0" distB="0" distL="114300" distR="114300" simplePos="0" relativeHeight="251659264" behindDoc="0" locked="0" layoutInCell="1" allowOverlap="1">
            <wp:simplePos x="0" y="0"/>
            <wp:positionH relativeFrom="column">
              <wp:posOffset>1382395</wp:posOffset>
            </wp:positionH>
            <wp:positionV relativeFrom="paragraph">
              <wp:posOffset>23495</wp:posOffset>
            </wp:positionV>
            <wp:extent cx="2758440" cy="2482215"/>
            <wp:effectExtent l="0" t="0" r="3810" b="13335"/>
            <wp:wrapSquare wrapText="bothSides"/>
            <wp:docPr id="2" name="图片 26" descr="微信图片_2020122509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6" descr="微信图片_20201225094002"/>
                    <pic:cNvPicPr>
                      <a:picLocks noChangeAspect="1"/>
                    </pic:cNvPicPr>
                  </pic:nvPicPr>
                  <pic:blipFill>
                    <a:blip r:embed="rId6"/>
                    <a:stretch>
                      <a:fillRect/>
                    </a:stretch>
                  </pic:blipFill>
                  <pic:spPr>
                    <a:xfrm>
                      <a:off x="0" y="0"/>
                      <a:ext cx="2758440" cy="2482215"/>
                    </a:xfrm>
                    <a:prstGeom prst="rect">
                      <a:avLst/>
                    </a:prstGeom>
                    <a:noFill/>
                    <a:ln>
                      <a:noFill/>
                    </a:ln>
                  </pic:spPr>
                </pic:pic>
              </a:graphicData>
            </a:graphic>
          </wp:anchor>
        </w:drawing>
      </w:r>
    </w:p>
    <w:p w14:paraId="2CBF4196">
      <w:pPr>
        <w:spacing w:line="500" w:lineRule="exact"/>
        <w:rPr>
          <w:rFonts w:hint="eastAsia" w:ascii="宋体" w:hAnsi="宋体"/>
          <w:sz w:val="30"/>
          <w:szCs w:val="30"/>
        </w:rPr>
      </w:pPr>
    </w:p>
    <w:p w14:paraId="7380C592">
      <w:pPr>
        <w:spacing w:line="500" w:lineRule="exact"/>
        <w:rPr>
          <w:rFonts w:hint="eastAsia" w:ascii="宋体" w:hAnsi="宋体"/>
          <w:sz w:val="30"/>
          <w:szCs w:val="30"/>
        </w:rPr>
      </w:pPr>
    </w:p>
    <w:p w14:paraId="61F097B1">
      <w:pPr>
        <w:spacing w:line="500" w:lineRule="exact"/>
        <w:rPr>
          <w:rFonts w:hint="eastAsia" w:ascii="宋体" w:hAnsi="宋体"/>
          <w:sz w:val="30"/>
          <w:szCs w:val="30"/>
        </w:rPr>
      </w:pPr>
    </w:p>
    <w:p w14:paraId="5E80902B">
      <w:pPr>
        <w:spacing w:line="500" w:lineRule="exact"/>
        <w:rPr>
          <w:rFonts w:hint="eastAsia" w:ascii="宋体" w:hAnsi="宋体"/>
          <w:sz w:val="30"/>
          <w:szCs w:val="30"/>
        </w:rPr>
      </w:pPr>
    </w:p>
    <w:p w14:paraId="62930EFE">
      <w:pPr>
        <w:spacing w:line="500" w:lineRule="exact"/>
        <w:rPr>
          <w:rFonts w:hint="eastAsia" w:ascii="宋体" w:hAnsi="宋体"/>
          <w:sz w:val="30"/>
          <w:szCs w:val="30"/>
        </w:rPr>
      </w:pPr>
    </w:p>
    <w:p w14:paraId="07E6579A">
      <w:pPr>
        <w:spacing w:line="500" w:lineRule="exact"/>
        <w:rPr>
          <w:rFonts w:hint="eastAsia" w:ascii="宋体" w:hAnsi="宋体"/>
          <w:sz w:val="30"/>
          <w:szCs w:val="30"/>
        </w:rPr>
      </w:pPr>
    </w:p>
    <w:p w14:paraId="1BBEA2EB">
      <w:pPr>
        <w:spacing w:line="500" w:lineRule="exact"/>
        <w:rPr>
          <w:rFonts w:hint="eastAsia" w:ascii="宋体" w:hAnsi="宋体"/>
          <w:sz w:val="30"/>
          <w:szCs w:val="30"/>
        </w:rPr>
      </w:pPr>
    </w:p>
    <w:p w14:paraId="6E48DC5E">
      <w:pPr>
        <w:spacing w:line="500" w:lineRule="exact"/>
        <w:rPr>
          <w:rFonts w:hint="eastAsia" w:ascii="宋体" w:hAnsi="宋体"/>
          <w:sz w:val="30"/>
          <w:szCs w:val="30"/>
        </w:rPr>
      </w:pPr>
    </w:p>
    <w:p w14:paraId="187F1402">
      <w:pPr>
        <w:spacing w:line="500" w:lineRule="exact"/>
        <w:rPr>
          <w:rFonts w:hint="default" w:ascii="宋体" w:hAnsi="宋体"/>
          <w:sz w:val="30"/>
          <w:szCs w:val="30"/>
          <w:lang w:val="en-US"/>
        </w:rPr>
      </w:pPr>
      <w:r>
        <w:rPr>
          <w:rFonts w:hint="eastAsia" w:ascii="宋体" w:hAnsi="宋体" w:eastAsia="宋体"/>
          <w:sz w:val="30"/>
          <w:szCs w:val="30"/>
          <w:lang w:eastAsia="zh-CN"/>
        </w:rPr>
        <w:drawing>
          <wp:anchor distT="0" distB="0" distL="114300" distR="114300" simplePos="0" relativeHeight="251669504" behindDoc="0" locked="0" layoutInCell="1" allowOverlap="1">
            <wp:simplePos x="0" y="0"/>
            <wp:positionH relativeFrom="column">
              <wp:posOffset>1905</wp:posOffset>
            </wp:positionH>
            <wp:positionV relativeFrom="paragraph">
              <wp:posOffset>548640</wp:posOffset>
            </wp:positionV>
            <wp:extent cx="5454650" cy="3855720"/>
            <wp:effectExtent l="0" t="0" r="1270" b="0"/>
            <wp:wrapSquare wrapText="bothSides"/>
            <wp:docPr id="21" name="图片 21" descr="80cf0f9232cf29dcce4078229a27b0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0cf0f9232cf29dcce4078229a27b0a8"/>
                    <pic:cNvPicPr>
                      <a:picLocks noChangeAspect="1"/>
                    </pic:cNvPicPr>
                  </pic:nvPicPr>
                  <pic:blipFill>
                    <a:blip r:embed="rId7"/>
                    <a:stretch>
                      <a:fillRect/>
                    </a:stretch>
                  </pic:blipFill>
                  <pic:spPr>
                    <a:xfrm>
                      <a:off x="0" y="0"/>
                      <a:ext cx="5454650" cy="3855720"/>
                    </a:xfrm>
                    <a:prstGeom prst="rect">
                      <a:avLst/>
                    </a:prstGeom>
                  </pic:spPr>
                </pic:pic>
              </a:graphicData>
            </a:graphic>
          </wp:anchor>
        </w:drawing>
      </w:r>
      <w:r>
        <w:rPr>
          <w:rFonts w:hint="eastAsia" w:ascii="宋体" w:hAnsi="宋体"/>
          <w:sz w:val="30"/>
          <w:szCs w:val="30"/>
          <w:lang w:val="en-US" w:eastAsia="zh-CN"/>
        </w:rPr>
        <w:t>预约流程图：</w:t>
      </w:r>
    </w:p>
    <w:p w14:paraId="04F33EA3">
      <w:pPr>
        <w:spacing w:line="500" w:lineRule="exact"/>
        <w:rPr>
          <w:rFonts w:hint="eastAsia" w:ascii="宋体" w:hAnsi="宋体"/>
          <w:sz w:val="30"/>
          <w:szCs w:val="30"/>
        </w:rPr>
      </w:pPr>
    </w:p>
    <w:p w14:paraId="5EF5B0A0">
      <w:pPr>
        <w:numPr>
          <w:ilvl w:val="0"/>
          <w:numId w:val="1"/>
        </w:numPr>
        <w:spacing w:line="500" w:lineRule="exact"/>
        <w:rPr>
          <w:rFonts w:hint="eastAsia" w:ascii="宋体" w:hAnsi="宋体" w:cs="黑体"/>
          <w:sz w:val="30"/>
          <w:szCs w:val="30"/>
        </w:rPr>
        <w:sectPr>
          <w:pgSz w:w="11906" w:h="16838"/>
          <w:pgMar w:top="1440" w:right="1800" w:bottom="1440" w:left="1800" w:header="851" w:footer="992" w:gutter="0"/>
          <w:cols w:space="720" w:num="1"/>
          <w:docGrid w:type="lines" w:linePitch="312" w:charSpace="0"/>
        </w:sectPr>
      </w:pPr>
    </w:p>
    <w:p w14:paraId="3C4A41C5">
      <w:pPr>
        <w:spacing w:line="500" w:lineRule="exact"/>
        <w:rPr>
          <w:rFonts w:hint="eastAsia" w:ascii="宋体" w:hAnsi="宋体" w:cs="黑体"/>
          <w:b/>
          <w:bCs/>
          <w:sz w:val="30"/>
          <w:szCs w:val="30"/>
        </w:rPr>
      </w:pPr>
      <w:r>
        <w:rPr>
          <w:rFonts w:hint="eastAsia" w:ascii="宋体" w:hAnsi="宋体" w:cs="黑体"/>
          <w:b/>
          <w:bCs/>
          <w:sz w:val="30"/>
          <w:szCs w:val="30"/>
          <w:lang w:val="en-US" w:eastAsia="zh-CN"/>
        </w:rPr>
        <w:t>二、</w:t>
      </w:r>
      <w:r>
        <w:rPr>
          <w:rFonts w:hint="eastAsia" w:ascii="宋体" w:hAnsi="宋体" w:cs="黑体"/>
          <w:b/>
          <w:bCs/>
          <w:sz w:val="30"/>
          <w:szCs w:val="30"/>
        </w:rPr>
        <w:t>江苏省省级机关医院健康管理中心新址介绍</w:t>
      </w:r>
    </w:p>
    <w:p w14:paraId="72F86025">
      <w:pPr>
        <w:keepNext w:val="0"/>
        <w:keepLines w:val="0"/>
        <w:pageBreakBefore w:val="0"/>
        <w:widowControl w:val="0"/>
        <w:kinsoku/>
        <w:wordWrap/>
        <w:overflowPunct w:val="0"/>
        <w:topLinePunct w:val="0"/>
        <w:autoSpaceDE/>
        <w:autoSpaceDN/>
        <w:bidi w:val="0"/>
        <w:adjustRightInd/>
        <w:spacing w:line="360" w:lineRule="auto"/>
        <w:ind w:firstLine="562" w:firstLineChars="200"/>
        <w:jc w:val="left"/>
        <w:textAlignment w:val="auto"/>
        <w:rPr>
          <w:rFonts w:hint="eastAsia" w:ascii="Times New Roman" w:hAnsi="Times New Roman" w:eastAsia="宋体" w:cs="Times New Roman"/>
          <w:b w:val="0"/>
          <w:bCs w:val="0"/>
          <w:sz w:val="28"/>
          <w:szCs w:val="28"/>
        </w:rPr>
      </w:pPr>
      <w:r>
        <w:rPr>
          <w:rFonts w:hint="eastAsia" w:ascii="Times New Roman" w:hAnsi="Times New Roman" w:eastAsia="宋体" w:cs="Times New Roman"/>
          <w:b/>
          <w:bCs/>
          <w:sz w:val="28"/>
          <w:szCs w:val="28"/>
        </w:rPr>
        <w:t>江苏省省级机关医院</w:t>
      </w:r>
      <w:r>
        <w:rPr>
          <w:rFonts w:hint="eastAsia" w:ascii="Times New Roman" w:hAnsi="Times New Roman" w:eastAsia="宋体" w:cs="Times New Roman"/>
          <w:b w:val="0"/>
          <w:bCs w:val="0"/>
          <w:sz w:val="28"/>
          <w:szCs w:val="28"/>
        </w:rPr>
        <w:t>始建于1952年，1991年成立江苏省老年医学研究所，1992年挂牌江苏省老年病医院，2013年开设分院，2015年全面运营管理南京江宁沐春园护理院，2018年成为南京医科大学附属老年医院，2020年成为南京医科大学康达学院老年临床医学院。是一所集医疗、教学、科研、康复、保健、医养结合为一体的三级老年医院。</w:t>
      </w:r>
    </w:p>
    <w:p w14:paraId="33A469C0">
      <w:pPr>
        <w:keepNext w:val="0"/>
        <w:keepLines w:val="0"/>
        <w:pageBreakBefore w:val="0"/>
        <w:widowControl w:val="0"/>
        <w:kinsoku/>
        <w:wordWrap/>
        <w:overflowPunct w:val="0"/>
        <w:topLinePunct w:val="0"/>
        <w:autoSpaceDE/>
        <w:autoSpaceDN/>
        <w:bidi w:val="0"/>
        <w:adjustRightInd/>
        <w:spacing w:line="360" w:lineRule="auto"/>
        <w:ind w:firstLine="560" w:firstLineChars="200"/>
        <w:jc w:val="left"/>
        <w:textAlignment w:val="auto"/>
        <w:rPr>
          <w:rFonts w:hint="eastAsia" w:ascii="Times New Roman" w:hAnsi="Times New Roman" w:eastAsia="宋体" w:cs="Times New Roman"/>
          <w:b/>
          <w:bCs/>
          <w:sz w:val="28"/>
          <w:szCs w:val="28"/>
        </w:rPr>
      </w:pPr>
      <w:r>
        <w:rPr>
          <w:rFonts w:hint="eastAsia" w:ascii="Times New Roman" w:hAnsi="Times New Roman" w:eastAsia="宋体" w:cs="Times New Roman"/>
          <w:b w:val="0"/>
          <w:bCs w:val="0"/>
          <w:sz w:val="28"/>
          <w:szCs w:val="28"/>
        </w:rPr>
        <w:t>医院先后获批国家老年疾病临床医学研究中心（解放军总医院）和国家老年疾病临床医学研究中心（华西医院）江苏分中心（均为江苏省唯一区域分中心），2021年医院被列为国家老年医学区域医疗中心联合建设单位。</w:t>
      </w:r>
    </w:p>
    <w:p w14:paraId="75982C78">
      <w:pPr>
        <w:keepNext w:val="0"/>
        <w:keepLines w:val="0"/>
        <w:pageBreakBefore w:val="0"/>
        <w:widowControl w:val="0"/>
        <w:kinsoku/>
        <w:wordWrap/>
        <w:overflowPunct w:val="0"/>
        <w:topLinePunct w:val="0"/>
        <w:autoSpaceDE/>
        <w:autoSpaceDN/>
        <w:bidi w:val="0"/>
        <w:adjustRightInd/>
        <w:spacing w:line="360" w:lineRule="auto"/>
        <w:ind w:firstLine="562" w:firstLineChars="200"/>
        <w:textAlignment w:val="auto"/>
        <w:rPr>
          <w:rFonts w:hint="eastAsia" w:ascii="Times New Roman" w:hAnsi="Times New Roman" w:eastAsia="宋体" w:cs="Times New Roman"/>
          <w:b/>
          <w:bCs/>
          <w:sz w:val="28"/>
          <w:szCs w:val="28"/>
        </w:rPr>
      </w:pPr>
      <w:r>
        <w:rPr>
          <w:rFonts w:hint="eastAsia" w:ascii="Calibri" w:hAnsi="Calibri" w:eastAsia="宋体" w:cs="Times New Roman"/>
          <w:b/>
          <w:bCs/>
          <w:sz w:val="28"/>
          <w:szCs w:val="32"/>
          <w:highlight w:val="none"/>
          <w:lang w:eastAsia="zh-CN"/>
        </w:rPr>
        <w:drawing>
          <wp:anchor distT="0" distB="0" distL="114300" distR="114300" simplePos="0" relativeHeight="251663360" behindDoc="0" locked="0" layoutInCell="1" allowOverlap="1">
            <wp:simplePos x="0" y="0"/>
            <wp:positionH relativeFrom="column">
              <wp:posOffset>1669415</wp:posOffset>
            </wp:positionH>
            <wp:positionV relativeFrom="paragraph">
              <wp:posOffset>1714500</wp:posOffset>
            </wp:positionV>
            <wp:extent cx="1946910" cy="1299210"/>
            <wp:effectExtent l="0" t="0" r="15240" b="15240"/>
            <wp:wrapSquare wrapText="bothSides"/>
            <wp:docPr id="6" name="图片 5" descr="2aace300a8af8b024eb1cfe58dfb8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2aace300a8af8b024eb1cfe58dfb8ac"/>
                    <pic:cNvPicPr>
                      <a:picLocks noChangeAspect="1"/>
                    </pic:cNvPicPr>
                  </pic:nvPicPr>
                  <pic:blipFill>
                    <a:blip r:embed="rId8"/>
                    <a:stretch>
                      <a:fillRect/>
                    </a:stretch>
                  </pic:blipFill>
                  <pic:spPr>
                    <a:xfrm>
                      <a:off x="0" y="0"/>
                      <a:ext cx="1946910" cy="1299210"/>
                    </a:xfrm>
                    <a:prstGeom prst="rect">
                      <a:avLst/>
                    </a:prstGeom>
                    <a:noFill/>
                    <a:ln>
                      <a:noFill/>
                    </a:ln>
                  </pic:spPr>
                </pic:pic>
              </a:graphicData>
            </a:graphic>
          </wp:anchor>
        </w:drawing>
      </w:r>
      <w:r>
        <w:rPr>
          <w:rFonts w:hint="eastAsia" w:ascii="Times New Roman" w:hAnsi="Times New Roman" w:eastAsia="宋体" w:cs="Times New Roman"/>
          <w:sz w:val="28"/>
          <w:szCs w:val="36"/>
          <w:highlight w:val="none"/>
          <w:lang w:eastAsia="zh-CN"/>
        </w:rPr>
        <w:drawing>
          <wp:anchor distT="0" distB="0" distL="114300" distR="114300" simplePos="0" relativeHeight="251667456" behindDoc="0" locked="0" layoutInCell="1" allowOverlap="1">
            <wp:simplePos x="0" y="0"/>
            <wp:positionH relativeFrom="column">
              <wp:posOffset>-371475</wp:posOffset>
            </wp:positionH>
            <wp:positionV relativeFrom="paragraph">
              <wp:posOffset>1704975</wp:posOffset>
            </wp:positionV>
            <wp:extent cx="1927860" cy="1285875"/>
            <wp:effectExtent l="0" t="0" r="15240" b="9525"/>
            <wp:wrapSquare wrapText="bothSides"/>
            <wp:docPr id="10" name="图片 6" descr="微信图片_20250927095830_209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微信图片_20250927095830_209_46"/>
                    <pic:cNvPicPr>
                      <a:picLocks noChangeAspect="1"/>
                    </pic:cNvPicPr>
                  </pic:nvPicPr>
                  <pic:blipFill>
                    <a:blip r:embed="rId9"/>
                    <a:stretch>
                      <a:fillRect/>
                    </a:stretch>
                  </pic:blipFill>
                  <pic:spPr>
                    <a:xfrm>
                      <a:off x="0" y="0"/>
                      <a:ext cx="1927860" cy="1285875"/>
                    </a:xfrm>
                    <a:prstGeom prst="rect">
                      <a:avLst/>
                    </a:prstGeom>
                    <a:noFill/>
                    <a:ln>
                      <a:noFill/>
                    </a:ln>
                  </pic:spPr>
                </pic:pic>
              </a:graphicData>
            </a:graphic>
          </wp:anchor>
        </w:drawing>
      </w:r>
      <w:r>
        <w:rPr>
          <w:rFonts w:hint="eastAsia" w:ascii="Times New Roman" w:hAnsi="Times New Roman" w:eastAsia="宋体" w:cs="Times New Roman"/>
          <w:sz w:val="28"/>
          <w:szCs w:val="36"/>
          <w:highlight w:val="none"/>
          <w:lang w:eastAsia="zh-CN"/>
        </w:rPr>
        <w:drawing>
          <wp:anchor distT="0" distB="0" distL="114300" distR="114300" simplePos="0" relativeHeight="251666432" behindDoc="0" locked="0" layoutInCell="1" allowOverlap="1">
            <wp:simplePos x="0" y="0"/>
            <wp:positionH relativeFrom="column">
              <wp:posOffset>3761740</wp:posOffset>
            </wp:positionH>
            <wp:positionV relativeFrom="paragraph">
              <wp:posOffset>222250</wp:posOffset>
            </wp:positionV>
            <wp:extent cx="1941830" cy="1294765"/>
            <wp:effectExtent l="0" t="0" r="1270" b="635"/>
            <wp:wrapSquare wrapText="bothSides"/>
            <wp:docPr id="9" name="图片 8" descr="微信图片_20251217091903_552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微信图片_20251217091903_552_46"/>
                    <pic:cNvPicPr>
                      <a:picLocks noChangeAspect="1"/>
                    </pic:cNvPicPr>
                  </pic:nvPicPr>
                  <pic:blipFill>
                    <a:blip r:embed="rId10"/>
                    <a:stretch>
                      <a:fillRect/>
                    </a:stretch>
                  </pic:blipFill>
                  <pic:spPr>
                    <a:xfrm>
                      <a:off x="0" y="0"/>
                      <a:ext cx="1941830" cy="1294765"/>
                    </a:xfrm>
                    <a:prstGeom prst="rect">
                      <a:avLst/>
                    </a:prstGeom>
                    <a:noFill/>
                    <a:ln>
                      <a:noFill/>
                    </a:ln>
                  </pic:spPr>
                </pic:pic>
              </a:graphicData>
            </a:graphic>
          </wp:anchor>
        </w:drawing>
      </w:r>
      <w:r>
        <w:rPr>
          <w:rFonts w:hint="eastAsia" w:ascii="Times New Roman" w:hAnsi="Times New Roman" w:eastAsia="宋体" w:cs="Times New Roman"/>
          <w:sz w:val="28"/>
          <w:szCs w:val="36"/>
          <w:highlight w:val="none"/>
          <w:lang w:eastAsia="zh-CN"/>
        </w:rPr>
        <w:drawing>
          <wp:anchor distT="0" distB="0" distL="114300" distR="114300" simplePos="0" relativeHeight="251664384" behindDoc="0" locked="0" layoutInCell="1" allowOverlap="1">
            <wp:simplePos x="0" y="0"/>
            <wp:positionH relativeFrom="column">
              <wp:posOffset>1669415</wp:posOffset>
            </wp:positionH>
            <wp:positionV relativeFrom="paragraph">
              <wp:posOffset>222250</wp:posOffset>
            </wp:positionV>
            <wp:extent cx="1936115" cy="1289685"/>
            <wp:effectExtent l="0" t="0" r="6985" b="5715"/>
            <wp:wrapSquare wrapText="bothSides"/>
            <wp:docPr id="7" name="图片 2" descr="微信图片_2024041114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微信图片_20240411144403"/>
                    <pic:cNvPicPr>
                      <a:picLocks noChangeAspect="1"/>
                    </pic:cNvPicPr>
                  </pic:nvPicPr>
                  <pic:blipFill>
                    <a:blip r:embed="rId11"/>
                    <a:stretch>
                      <a:fillRect/>
                    </a:stretch>
                  </pic:blipFill>
                  <pic:spPr>
                    <a:xfrm>
                      <a:off x="0" y="0"/>
                      <a:ext cx="1936115" cy="1289685"/>
                    </a:xfrm>
                    <a:prstGeom prst="rect">
                      <a:avLst/>
                    </a:prstGeom>
                    <a:noFill/>
                    <a:ln>
                      <a:noFill/>
                    </a:ln>
                  </pic:spPr>
                </pic:pic>
              </a:graphicData>
            </a:graphic>
          </wp:anchor>
        </w:drawing>
      </w:r>
      <w:r>
        <w:rPr>
          <w:rFonts w:hint="eastAsia" w:ascii="Times New Roman" w:hAnsi="Times New Roman" w:eastAsia="宋体" w:cs="Times New Roman"/>
          <w:sz w:val="28"/>
          <w:szCs w:val="36"/>
          <w:highlight w:val="none"/>
          <w:lang w:eastAsia="zh-CN"/>
        </w:rPr>
        <w:drawing>
          <wp:anchor distT="0" distB="0" distL="114300" distR="114300" simplePos="0" relativeHeight="251662336" behindDoc="0" locked="0" layoutInCell="1" allowOverlap="1">
            <wp:simplePos x="0" y="0"/>
            <wp:positionH relativeFrom="column">
              <wp:posOffset>-371475</wp:posOffset>
            </wp:positionH>
            <wp:positionV relativeFrom="paragraph">
              <wp:posOffset>215900</wp:posOffset>
            </wp:positionV>
            <wp:extent cx="1918335" cy="1282700"/>
            <wp:effectExtent l="0" t="0" r="5715" b="12700"/>
            <wp:wrapSquare wrapText="bothSides"/>
            <wp:docPr id="5" name="图片 15" descr="57701de8069d28e6cdef77c71a9b7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57701de8069d28e6cdef77c71a9b7eb"/>
                    <pic:cNvPicPr>
                      <a:picLocks noChangeAspect="1"/>
                    </pic:cNvPicPr>
                  </pic:nvPicPr>
                  <pic:blipFill>
                    <a:blip r:embed="rId12"/>
                    <a:stretch>
                      <a:fillRect/>
                    </a:stretch>
                  </pic:blipFill>
                  <pic:spPr>
                    <a:xfrm>
                      <a:off x="0" y="0"/>
                      <a:ext cx="1918335" cy="1282700"/>
                    </a:xfrm>
                    <a:prstGeom prst="rect">
                      <a:avLst/>
                    </a:prstGeom>
                    <a:noFill/>
                    <a:ln>
                      <a:noFill/>
                    </a:ln>
                  </pic:spPr>
                </pic:pic>
              </a:graphicData>
            </a:graphic>
          </wp:anchor>
        </w:drawing>
      </w:r>
    </w:p>
    <w:p w14:paraId="4E086CE0">
      <w:pPr>
        <w:keepNext w:val="0"/>
        <w:keepLines w:val="0"/>
        <w:pageBreakBefore w:val="0"/>
        <w:widowControl w:val="0"/>
        <w:kinsoku/>
        <w:wordWrap/>
        <w:overflowPunct w:val="0"/>
        <w:topLinePunct w:val="0"/>
        <w:autoSpaceDE/>
        <w:autoSpaceDN/>
        <w:bidi w:val="0"/>
        <w:adjustRightInd/>
        <w:spacing w:line="360" w:lineRule="auto"/>
        <w:ind w:firstLine="562" w:firstLineChars="200"/>
        <w:textAlignment w:val="auto"/>
        <w:rPr>
          <w:rFonts w:hint="eastAsia"/>
          <w:b/>
          <w:bCs/>
          <w:sz w:val="28"/>
          <w:szCs w:val="28"/>
        </w:rPr>
        <w:sectPr>
          <w:pgSz w:w="11906" w:h="16838"/>
          <w:pgMar w:top="1440" w:right="1800" w:bottom="1440" w:left="1800" w:header="851" w:footer="992" w:gutter="0"/>
          <w:cols w:space="720" w:num="1"/>
          <w:docGrid w:type="lines" w:linePitch="312" w:charSpace="0"/>
        </w:sectPr>
      </w:pPr>
      <w:r>
        <w:rPr>
          <w:rFonts w:hint="eastAsia" w:ascii="Calibri" w:hAnsi="Calibri" w:eastAsia="宋体" w:cs="Times New Roman"/>
          <w:b/>
          <w:bCs/>
          <w:sz w:val="28"/>
          <w:szCs w:val="32"/>
          <w:highlight w:val="none"/>
          <w:lang w:eastAsia="zh-CN"/>
        </w:rPr>
        <w:drawing>
          <wp:anchor distT="0" distB="0" distL="114300" distR="114300" simplePos="0" relativeHeight="251665408" behindDoc="0" locked="0" layoutInCell="1" allowOverlap="1">
            <wp:simplePos x="0" y="0"/>
            <wp:positionH relativeFrom="column">
              <wp:posOffset>132715</wp:posOffset>
            </wp:positionH>
            <wp:positionV relativeFrom="paragraph">
              <wp:posOffset>-199390</wp:posOffset>
            </wp:positionV>
            <wp:extent cx="1828165" cy="1280160"/>
            <wp:effectExtent l="0" t="0" r="635" b="15240"/>
            <wp:wrapSquare wrapText="bothSides"/>
            <wp:docPr id="8" name="图片 4" descr="微信图片_2025041015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微信图片_20250410155949"/>
                    <pic:cNvPicPr>
                      <a:picLocks noChangeAspect="1"/>
                    </pic:cNvPicPr>
                  </pic:nvPicPr>
                  <pic:blipFill>
                    <a:blip r:embed="rId13"/>
                    <a:stretch>
                      <a:fillRect/>
                    </a:stretch>
                  </pic:blipFill>
                  <pic:spPr>
                    <a:xfrm>
                      <a:off x="0" y="0"/>
                      <a:ext cx="1828165" cy="1280160"/>
                    </a:xfrm>
                    <a:prstGeom prst="rect">
                      <a:avLst/>
                    </a:prstGeom>
                    <a:noFill/>
                    <a:ln>
                      <a:noFill/>
                    </a:ln>
                  </pic:spPr>
                </pic:pic>
              </a:graphicData>
            </a:graphic>
          </wp:anchor>
        </w:drawing>
      </w:r>
    </w:p>
    <w:p w14:paraId="147F5EE2">
      <w:pPr>
        <w:ind w:firstLine="420" w:firstLineChars="0"/>
        <w:rPr>
          <w:rFonts w:hint="eastAsia" w:ascii="Times New Roman" w:hAnsi="Times New Roman" w:eastAsia="宋体" w:cs="Times New Roman"/>
          <w:sz w:val="28"/>
          <w:szCs w:val="28"/>
          <w:highlight w:val="none"/>
        </w:rPr>
      </w:pPr>
      <w:r>
        <w:rPr>
          <w:rFonts w:hint="eastAsia" w:ascii="Times New Roman" w:hAnsi="Times New Roman" w:eastAsia="宋体" w:cs="Times New Roman"/>
          <w:b/>
          <w:bCs/>
          <w:sz w:val="28"/>
          <w:szCs w:val="28"/>
          <w:highlight w:val="none"/>
        </w:rPr>
        <w:t>江苏省省级机关医院健康管理中心</w:t>
      </w:r>
      <w:r>
        <w:rPr>
          <w:rFonts w:hint="eastAsia" w:ascii="Times New Roman" w:hAnsi="Times New Roman" w:eastAsia="宋体" w:cs="Times New Roman"/>
          <w:b w:val="0"/>
          <w:bCs w:val="0"/>
          <w:sz w:val="28"/>
          <w:szCs w:val="28"/>
          <w:highlight w:val="none"/>
        </w:rPr>
        <w:t>成立于1999年</w:t>
      </w:r>
      <w:r>
        <w:rPr>
          <w:rFonts w:hint="eastAsia" w:ascii="Times New Roman" w:hAnsi="Times New Roman" w:eastAsia="宋体" w:cs="Times New Roman"/>
          <w:b w:val="0"/>
          <w:bCs w:val="0"/>
          <w:sz w:val="28"/>
          <w:szCs w:val="28"/>
          <w:highlight w:val="none"/>
          <w:lang w:eastAsia="zh-CN"/>
        </w:rPr>
        <w:t>，是面向社会各界人士，</w:t>
      </w:r>
      <w:r>
        <w:rPr>
          <w:rFonts w:hint="eastAsia" w:ascii="Times New Roman" w:hAnsi="Times New Roman" w:eastAsia="宋体" w:cs="Times New Roman"/>
          <w:sz w:val="28"/>
          <w:szCs w:val="28"/>
          <w:highlight w:val="none"/>
        </w:rPr>
        <w:t>提供健康体检、疾病风险评估、健康档案建立、健康干预、</w:t>
      </w:r>
      <w:r>
        <w:rPr>
          <w:rFonts w:hint="eastAsia" w:ascii="Times New Roman" w:hAnsi="Times New Roman" w:eastAsia="宋体" w:cs="Times New Roman"/>
          <w:sz w:val="28"/>
          <w:szCs w:val="28"/>
          <w:highlight w:val="none"/>
          <w:lang w:val="en-US" w:eastAsia="zh-CN"/>
        </w:rPr>
        <w:t>慢病防控</w:t>
      </w:r>
      <w:r>
        <w:rPr>
          <w:rFonts w:hint="eastAsia" w:ascii="Times New Roman" w:hAnsi="Times New Roman" w:eastAsia="宋体" w:cs="Times New Roman"/>
          <w:sz w:val="28"/>
          <w:szCs w:val="28"/>
          <w:highlight w:val="none"/>
        </w:rPr>
        <w:t>等综合性健康促进服务的现代化健康管理中心。</w:t>
      </w:r>
    </w:p>
    <w:p w14:paraId="6E5F7E61">
      <w:pPr>
        <w:ind w:firstLine="420" w:firstLineChars="0"/>
        <w:rPr>
          <w:rFonts w:hint="eastAsia" w:ascii="Times New Roman" w:hAnsi="Times New Roman" w:eastAsia="宋体" w:cs="Times New Roman"/>
          <w:sz w:val="28"/>
          <w:szCs w:val="28"/>
          <w:highlight w:val="none"/>
        </w:rPr>
      </w:pPr>
      <w:r>
        <w:rPr>
          <w:rFonts w:hint="eastAsia" w:ascii="Times New Roman" w:hAnsi="Times New Roman" w:eastAsia="宋体" w:cs="Times New Roman"/>
          <w:sz w:val="28"/>
          <w:szCs w:val="28"/>
          <w:highlight w:val="none"/>
        </w:rPr>
        <w:t>中心</w:t>
      </w:r>
      <w:r>
        <w:rPr>
          <w:rFonts w:hint="eastAsia" w:ascii="Times New Roman" w:hAnsi="Times New Roman" w:eastAsia="宋体" w:cs="Times New Roman"/>
          <w:sz w:val="28"/>
          <w:szCs w:val="28"/>
          <w:highlight w:val="none"/>
          <w:lang w:val="en-US" w:eastAsia="zh-CN"/>
        </w:rPr>
        <w:t>长期承接</w:t>
      </w:r>
      <w:r>
        <w:rPr>
          <w:rFonts w:hint="eastAsia" w:ascii="Times New Roman" w:hAnsi="Times New Roman" w:eastAsia="宋体" w:cs="Times New Roman"/>
          <w:sz w:val="28"/>
          <w:szCs w:val="28"/>
          <w:highlight w:val="none"/>
        </w:rPr>
        <w:t>省级机关干部、千余家企事业单位职工的健康体检工作，以及公务员入职、</w:t>
      </w:r>
      <w:r>
        <w:rPr>
          <w:rFonts w:hint="eastAsia" w:ascii="Times New Roman" w:hAnsi="Times New Roman" w:eastAsia="宋体" w:cs="Times New Roman"/>
          <w:sz w:val="28"/>
          <w:szCs w:val="28"/>
          <w:highlight w:val="none"/>
          <w:lang w:val="en-US" w:eastAsia="zh-CN"/>
        </w:rPr>
        <w:t>企事业单位入职</w:t>
      </w:r>
      <w:r>
        <w:rPr>
          <w:rFonts w:hint="eastAsia" w:ascii="Times New Roman" w:hAnsi="Times New Roman" w:eastAsia="宋体" w:cs="Times New Roman"/>
          <w:sz w:val="28"/>
          <w:szCs w:val="28"/>
          <w:highlight w:val="none"/>
        </w:rPr>
        <w:t>、执业注册等专业体检工作。</w:t>
      </w:r>
      <w:r>
        <w:rPr>
          <w:rFonts w:hint="eastAsia" w:ascii="Times New Roman" w:hAnsi="Times New Roman" w:eastAsia="宋体" w:cs="Times New Roman"/>
          <w:sz w:val="28"/>
          <w:szCs w:val="28"/>
          <w:highlight w:val="none"/>
          <w:lang w:val="en-US" w:eastAsia="zh-CN"/>
        </w:rPr>
        <w:t>作为</w:t>
      </w:r>
      <w:r>
        <w:rPr>
          <w:rFonts w:hint="eastAsia" w:ascii="Times New Roman" w:hAnsi="Times New Roman" w:eastAsia="宋体" w:cs="Times New Roman"/>
          <w:sz w:val="28"/>
          <w:szCs w:val="28"/>
          <w:highlight w:val="none"/>
        </w:rPr>
        <w:t>全国首批健康管理示范基地、中国健康管理协会理事单位、全国防控重大慢病创新融合试点项目单位</w:t>
      </w:r>
      <w:r>
        <w:rPr>
          <w:rFonts w:hint="eastAsia" w:ascii="Times New Roman" w:hAnsi="Times New Roman" w:eastAsia="宋体" w:cs="Times New Roman"/>
          <w:sz w:val="28"/>
          <w:szCs w:val="28"/>
          <w:highlight w:val="none"/>
          <w:lang w:eastAsia="zh-CN"/>
        </w:rPr>
        <w:t>、</w:t>
      </w:r>
      <w:r>
        <w:rPr>
          <w:rFonts w:hint="eastAsia" w:ascii="Times New Roman" w:hAnsi="Times New Roman" w:eastAsia="宋体" w:cs="Times New Roman"/>
          <w:sz w:val="28"/>
          <w:szCs w:val="28"/>
          <w:highlight w:val="none"/>
        </w:rPr>
        <w:t>三级医院健康管理医学科共创共建单位</w:t>
      </w:r>
      <w:r>
        <w:rPr>
          <w:rFonts w:hint="eastAsia" w:ascii="Times New Roman" w:hAnsi="Times New Roman" w:eastAsia="宋体" w:cs="Times New Roman"/>
          <w:sz w:val="28"/>
          <w:szCs w:val="28"/>
          <w:highlight w:val="none"/>
          <w:lang w:eastAsia="zh-CN"/>
        </w:rPr>
        <w:t>、</w:t>
      </w:r>
      <w:r>
        <w:rPr>
          <w:rFonts w:hint="eastAsia" w:ascii="Times New Roman" w:hAnsi="Times New Roman" w:eastAsia="宋体" w:cs="Times New Roman"/>
          <w:sz w:val="28"/>
          <w:szCs w:val="36"/>
          <w:highlight w:val="none"/>
        </w:rPr>
        <w:t>三高共管心脑血管病防治健康管理联合体</w:t>
      </w:r>
      <w:r>
        <w:rPr>
          <w:rFonts w:hint="eastAsia" w:ascii="Times New Roman" w:hAnsi="Times New Roman" w:eastAsia="宋体" w:cs="Times New Roman"/>
          <w:sz w:val="28"/>
          <w:szCs w:val="36"/>
          <w:highlight w:val="none"/>
          <w:lang w:val="en-US" w:eastAsia="zh-CN"/>
        </w:rPr>
        <w:t>先行先试单位</w:t>
      </w:r>
      <w:r>
        <w:rPr>
          <w:rFonts w:hint="eastAsia" w:ascii="Times New Roman" w:hAnsi="Times New Roman" w:eastAsia="宋体" w:cs="Times New Roman"/>
          <w:sz w:val="28"/>
          <w:szCs w:val="28"/>
          <w:highlight w:val="none"/>
        </w:rPr>
        <w:t>、江苏省运动促进健康中心</w:t>
      </w:r>
      <w:r>
        <w:rPr>
          <w:rFonts w:hint="eastAsia" w:ascii="Times New Roman" w:hAnsi="Times New Roman" w:eastAsia="宋体" w:cs="Times New Roman"/>
          <w:sz w:val="28"/>
          <w:szCs w:val="28"/>
          <w:highlight w:val="none"/>
          <w:lang w:eastAsia="zh-CN"/>
        </w:rPr>
        <w:t>，</w:t>
      </w:r>
      <w:r>
        <w:rPr>
          <w:rFonts w:hint="eastAsia" w:ascii="Times New Roman" w:hAnsi="Times New Roman" w:eastAsia="宋体" w:cs="Times New Roman"/>
          <w:sz w:val="28"/>
          <w:szCs w:val="28"/>
          <w:highlight w:val="none"/>
          <w:lang w:val="en-US" w:eastAsia="zh-CN"/>
        </w:rPr>
        <w:t>中心</w:t>
      </w:r>
      <w:r>
        <w:rPr>
          <w:rFonts w:hint="eastAsia" w:ascii="Times New Roman" w:hAnsi="Times New Roman" w:eastAsia="宋体" w:cs="Times New Roman"/>
          <w:sz w:val="28"/>
          <w:szCs w:val="28"/>
          <w:highlight w:val="none"/>
        </w:rPr>
        <w:t>凭借雄厚的专业实力与丰富的实践积淀，全力打造早筛查、早评估、早干预的全周期健康管理体系</w:t>
      </w:r>
      <w:r>
        <w:rPr>
          <w:rFonts w:hint="eastAsia" w:ascii="Times New Roman" w:hAnsi="Times New Roman" w:eastAsia="宋体" w:cs="Times New Roman"/>
          <w:sz w:val="28"/>
          <w:szCs w:val="28"/>
          <w:highlight w:val="none"/>
          <w:lang w:eastAsia="zh-CN"/>
        </w:rPr>
        <w:t>，</w:t>
      </w:r>
      <w:r>
        <w:rPr>
          <w:rFonts w:hint="eastAsia" w:ascii="Times New Roman" w:hAnsi="Times New Roman" w:eastAsia="宋体" w:cs="Times New Roman"/>
          <w:sz w:val="28"/>
          <w:szCs w:val="28"/>
          <w:highlight w:val="none"/>
        </w:rPr>
        <w:t>树立起区域健康管理领域的标杆典范。</w:t>
      </w:r>
    </w:p>
    <w:p w14:paraId="78F1A712">
      <w:pPr>
        <w:ind w:firstLine="420" w:firstLineChars="0"/>
        <w:rPr>
          <w:rFonts w:hint="eastAsia" w:ascii="Times New Roman" w:hAnsi="Times New Roman" w:eastAsia="宋体" w:cs="Times New Roman"/>
          <w:sz w:val="28"/>
          <w:szCs w:val="28"/>
          <w:highlight w:val="none"/>
          <w:lang w:eastAsia="zh-CN"/>
        </w:rPr>
      </w:pPr>
    </w:p>
    <w:p w14:paraId="03160CDA">
      <w:pPr>
        <w:keepNext w:val="0"/>
        <w:keepLines w:val="0"/>
        <w:pageBreakBefore w:val="0"/>
        <w:widowControl w:val="0"/>
        <w:kinsoku/>
        <w:wordWrap/>
        <w:overflowPunct w:val="0"/>
        <w:topLinePunct w:val="0"/>
        <w:autoSpaceDE/>
        <w:autoSpaceDN/>
        <w:bidi w:val="0"/>
        <w:adjustRightInd/>
        <w:textAlignment w:val="auto"/>
        <w:rPr>
          <w:rFonts w:hint="default" w:ascii="Times New Roman" w:hAnsi="Times New Roman" w:eastAsia="宋体" w:cs="Times New Roman"/>
          <w:b/>
          <w:bCs/>
          <w:color w:val="000000"/>
          <w:sz w:val="28"/>
          <w:szCs w:val="28"/>
          <w:lang w:val="en-US" w:eastAsia="zh-CN"/>
        </w:rPr>
      </w:pPr>
      <w:r>
        <w:rPr>
          <w:rFonts w:hint="eastAsia" w:ascii="Times New Roman" w:hAnsi="Times New Roman" w:eastAsia="宋体" w:cs="Times New Roman"/>
          <w:b/>
          <w:bCs/>
          <w:color w:val="000000"/>
          <w:sz w:val="28"/>
          <w:szCs w:val="28"/>
          <w:lang w:val="en-US" w:eastAsia="zh-CN"/>
        </w:rPr>
        <w:t>独栋民国建筑，打造星级体检环境</w:t>
      </w:r>
      <w:r>
        <w:rPr>
          <w:rFonts w:hint="eastAsia" w:ascii="Times New Roman" w:hAnsi="Times New Roman" w:eastAsia="宋体" w:cs="Times New Roman"/>
          <w:b w:val="0"/>
          <w:bCs w:val="0"/>
          <w:sz w:val="28"/>
          <w:szCs w:val="28"/>
        </w:rPr>
        <w:drawing>
          <wp:anchor distT="0" distB="0" distL="114300" distR="114300" simplePos="0" relativeHeight="251660288" behindDoc="0" locked="0" layoutInCell="1" allowOverlap="1">
            <wp:simplePos x="0" y="0"/>
            <wp:positionH relativeFrom="column">
              <wp:posOffset>24765</wp:posOffset>
            </wp:positionH>
            <wp:positionV relativeFrom="paragraph">
              <wp:posOffset>433070</wp:posOffset>
            </wp:positionV>
            <wp:extent cx="5721985" cy="1905635"/>
            <wp:effectExtent l="0" t="0" r="12065" b="18415"/>
            <wp:wrapTopAndBottom/>
            <wp:docPr id="3" name="图片 41" descr="19e91109df1f83190b11902c3c9d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1" descr="19e91109df1f83190b11902c3c9df40"/>
                    <pic:cNvPicPr>
                      <a:picLocks noChangeAspect="1"/>
                    </pic:cNvPicPr>
                  </pic:nvPicPr>
                  <pic:blipFill>
                    <a:blip r:embed="rId14"/>
                    <a:stretch>
                      <a:fillRect/>
                    </a:stretch>
                  </pic:blipFill>
                  <pic:spPr>
                    <a:xfrm>
                      <a:off x="0" y="0"/>
                      <a:ext cx="5721985" cy="1905635"/>
                    </a:xfrm>
                    <a:prstGeom prst="rect">
                      <a:avLst/>
                    </a:prstGeom>
                    <a:noFill/>
                    <a:ln>
                      <a:noFill/>
                    </a:ln>
                  </pic:spPr>
                </pic:pic>
              </a:graphicData>
            </a:graphic>
          </wp:anchor>
        </w:drawing>
      </w:r>
    </w:p>
    <w:p w14:paraId="7BB559E1">
      <w:pPr>
        <w:keepNext w:val="0"/>
        <w:keepLines w:val="0"/>
        <w:pageBreakBefore w:val="0"/>
        <w:widowControl w:val="0"/>
        <w:kinsoku/>
        <w:wordWrap/>
        <w:overflowPunct w:val="0"/>
        <w:topLinePunct w:val="0"/>
        <w:autoSpaceDE/>
        <w:autoSpaceDN/>
        <w:bidi w:val="0"/>
        <w:adjustRightInd/>
        <w:spacing w:line="360" w:lineRule="auto"/>
        <w:ind w:firstLine="420" w:firstLineChars="0"/>
        <w:textAlignment w:val="auto"/>
        <w:rPr>
          <w:rFonts w:hint="eastAsia" w:ascii="Times New Roman" w:hAnsi="Times New Roman" w:eastAsia="宋体" w:cs="Times New Roman"/>
          <w:b w:val="0"/>
          <w:bCs w:val="0"/>
          <w:sz w:val="28"/>
          <w:szCs w:val="28"/>
        </w:rPr>
      </w:pPr>
      <w:r>
        <w:rPr>
          <w:rFonts w:hint="eastAsia" w:ascii="Times New Roman" w:hAnsi="Times New Roman" w:eastAsia="宋体" w:cs="Times New Roman"/>
          <w:b w:val="0"/>
          <w:bCs w:val="0"/>
          <w:sz w:val="28"/>
          <w:szCs w:val="28"/>
        </w:rPr>
        <w:t>健康管理中心位于南京市颐和路2号，为独栋</w:t>
      </w:r>
      <w:r>
        <w:rPr>
          <w:rFonts w:hint="eastAsia" w:ascii="Times New Roman" w:hAnsi="Times New Roman" w:eastAsia="宋体" w:cs="Times New Roman"/>
          <w:b w:val="0"/>
          <w:bCs w:val="0"/>
          <w:sz w:val="28"/>
          <w:szCs w:val="28"/>
          <w:lang w:eastAsia="zh-CN"/>
        </w:rPr>
        <w:t>民国建筑</w:t>
      </w:r>
      <w:r>
        <w:rPr>
          <w:rFonts w:hint="eastAsia" w:ascii="Times New Roman" w:hAnsi="Times New Roman" w:eastAsia="宋体" w:cs="Times New Roman"/>
          <w:b w:val="0"/>
          <w:bCs w:val="0"/>
          <w:sz w:val="28"/>
          <w:szCs w:val="28"/>
        </w:rPr>
        <w:t>，建筑面积达3700平方米</w:t>
      </w:r>
      <w:r>
        <w:rPr>
          <w:rFonts w:hint="eastAsia" w:ascii="Times New Roman" w:hAnsi="Times New Roman" w:eastAsia="宋体" w:cs="Times New Roman"/>
          <w:b w:val="0"/>
          <w:bCs w:val="0"/>
          <w:sz w:val="28"/>
          <w:szCs w:val="28"/>
          <w:lang w:eastAsia="zh-CN"/>
        </w:rPr>
        <w:t>。中心环境舒适、</w:t>
      </w:r>
      <w:r>
        <w:rPr>
          <w:rFonts w:hint="eastAsia" w:ascii="Times New Roman" w:hAnsi="Times New Roman" w:eastAsia="宋体" w:cs="Times New Roman"/>
          <w:b w:val="0"/>
          <w:bCs w:val="0"/>
          <w:sz w:val="28"/>
          <w:szCs w:val="28"/>
        </w:rPr>
        <w:t>分区科学合理，包括检前门诊区、功能检查区、</w:t>
      </w:r>
      <w:r>
        <w:rPr>
          <w:rFonts w:hint="eastAsia" w:ascii="Times New Roman" w:hAnsi="Times New Roman" w:eastAsia="宋体" w:cs="Times New Roman"/>
          <w:b w:val="0"/>
          <w:bCs w:val="0"/>
          <w:sz w:val="28"/>
          <w:szCs w:val="28"/>
          <w:lang w:eastAsia="zh-CN"/>
        </w:rPr>
        <w:t>女宾区、高端体检</w:t>
      </w:r>
      <w:r>
        <w:rPr>
          <w:rFonts w:hint="eastAsia" w:ascii="Times New Roman" w:hAnsi="Times New Roman" w:eastAsia="宋体" w:cs="Times New Roman"/>
          <w:b w:val="0"/>
          <w:bCs w:val="0"/>
          <w:sz w:val="28"/>
          <w:szCs w:val="28"/>
        </w:rPr>
        <w:t>区、</w:t>
      </w:r>
      <w:r>
        <w:rPr>
          <w:rFonts w:hint="eastAsia" w:ascii="Times New Roman" w:hAnsi="Times New Roman" w:eastAsia="宋体" w:cs="Times New Roman"/>
          <w:b w:val="0"/>
          <w:bCs w:val="0"/>
          <w:sz w:val="28"/>
          <w:szCs w:val="28"/>
          <w:lang w:eastAsia="zh-CN"/>
        </w:rPr>
        <w:t>运动促进健康区、</w:t>
      </w:r>
      <w:r>
        <w:rPr>
          <w:rFonts w:hint="eastAsia" w:ascii="Times New Roman" w:hAnsi="Times New Roman" w:eastAsia="宋体" w:cs="Times New Roman"/>
          <w:b w:val="0"/>
          <w:bCs w:val="0"/>
          <w:sz w:val="28"/>
          <w:szCs w:val="28"/>
        </w:rPr>
        <w:t>健康管理</w:t>
      </w:r>
      <w:r>
        <w:rPr>
          <w:rFonts w:hint="eastAsia" w:ascii="Times New Roman" w:hAnsi="Times New Roman" w:eastAsia="宋体" w:cs="Times New Roman"/>
          <w:b w:val="0"/>
          <w:bCs w:val="0"/>
          <w:sz w:val="28"/>
          <w:szCs w:val="28"/>
          <w:lang w:eastAsia="zh-CN"/>
        </w:rPr>
        <w:t>门诊</w:t>
      </w:r>
      <w:r>
        <w:rPr>
          <w:rFonts w:hint="eastAsia" w:ascii="Times New Roman" w:hAnsi="Times New Roman" w:eastAsia="宋体" w:cs="Times New Roman"/>
          <w:b w:val="0"/>
          <w:bCs w:val="0"/>
          <w:sz w:val="28"/>
          <w:szCs w:val="28"/>
        </w:rPr>
        <w:t>等。配备体检智能导检系统、自助挂号</w:t>
      </w:r>
      <w:r>
        <w:rPr>
          <w:rFonts w:hint="eastAsia" w:ascii="Times New Roman" w:hAnsi="Times New Roman" w:eastAsia="宋体" w:cs="Times New Roman"/>
          <w:b w:val="0"/>
          <w:bCs w:val="0"/>
          <w:sz w:val="28"/>
          <w:szCs w:val="28"/>
          <w:lang w:eastAsia="zh-CN"/>
        </w:rPr>
        <w:t>缴费</w:t>
      </w:r>
      <w:r>
        <w:rPr>
          <w:rFonts w:hint="eastAsia" w:ascii="Times New Roman" w:hAnsi="Times New Roman" w:eastAsia="宋体" w:cs="Times New Roman"/>
          <w:b w:val="0"/>
          <w:bCs w:val="0"/>
          <w:sz w:val="28"/>
          <w:szCs w:val="28"/>
        </w:rPr>
        <w:t>系统，</w:t>
      </w:r>
      <w:r>
        <w:rPr>
          <w:rFonts w:hint="eastAsia" w:ascii="Times New Roman" w:hAnsi="Times New Roman" w:eastAsia="宋体" w:cs="Times New Roman"/>
          <w:b w:val="0"/>
          <w:bCs w:val="0"/>
          <w:sz w:val="28"/>
          <w:szCs w:val="28"/>
          <w:lang w:eastAsia="zh-CN"/>
        </w:rPr>
        <w:t>使</w:t>
      </w:r>
      <w:r>
        <w:rPr>
          <w:rFonts w:hint="eastAsia" w:ascii="Times New Roman" w:hAnsi="Times New Roman" w:eastAsia="宋体" w:cs="Times New Roman"/>
          <w:b w:val="0"/>
          <w:bCs w:val="0"/>
          <w:sz w:val="28"/>
          <w:szCs w:val="28"/>
        </w:rPr>
        <w:t>体检</w:t>
      </w:r>
      <w:r>
        <w:rPr>
          <w:rFonts w:hint="eastAsia" w:ascii="Times New Roman" w:hAnsi="Times New Roman" w:eastAsia="宋体" w:cs="Times New Roman"/>
          <w:b w:val="0"/>
          <w:bCs w:val="0"/>
          <w:sz w:val="28"/>
          <w:szCs w:val="28"/>
          <w:lang w:eastAsia="zh-CN"/>
        </w:rPr>
        <w:t>流程</w:t>
      </w:r>
      <w:r>
        <w:rPr>
          <w:rFonts w:hint="eastAsia" w:ascii="Times New Roman" w:hAnsi="Times New Roman" w:eastAsia="宋体" w:cs="Times New Roman"/>
          <w:b w:val="0"/>
          <w:bCs w:val="0"/>
          <w:sz w:val="28"/>
          <w:szCs w:val="28"/>
        </w:rPr>
        <w:t>更加高效便捷。</w:t>
      </w:r>
    </w:p>
    <w:p w14:paraId="3A3959C5">
      <w:pPr>
        <w:keepNext w:val="0"/>
        <w:keepLines w:val="0"/>
        <w:pageBreakBefore w:val="0"/>
        <w:widowControl w:val="0"/>
        <w:kinsoku/>
        <w:wordWrap/>
        <w:overflowPunct w:val="0"/>
        <w:topLinePunct w:val="0"/>
        <w:autoSpaceDE/>
        <w:autoSpaceDN/>
        <w:bidi w:val="0"/>
        <w:adjustRightInd/>
        <w:spacing w:line="360" w:lineRule="auto"/>
        <w:textAlignment w:val="auto"/>
        <w:rPr>
          <w:rFonts w:ascii="Times New Roman" w:hAnsi="Times New Roman" w:eastAsia="宋体" w:cs="Times New Roman"/>
          <w:szCs w:val="22"/>
        </w:rPr>
      </w:pPr>
      <w:r>
        <w:rPr>
          <w:rFonts w:ascii="Times New Roman" w:hAnsi="Times New Roman" w:eastAsia="宋体" w:cs="Times New Roman"/>
          <w:szCs w:val="22"/>
        </w:rPr>
        <w:drawing>
          <wp:inline distT="0" distB="0" distL="114300" distR="114300">
            <wp:extent cx="5274310" cy="3014980"/>
            <wp:effectExtent l="0" t="0" r="2540" b="13970"/>
            <wp:docPr id="1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9"/>
                    <pic:cNvPicPr>
                      <a:picLocks noChangeAspect="1"/>
                    </pic:cNvPicPr>
                  </pic:nvPicPr>
                  <pic:blipFill>
                    <a:blip r:embed="rId15"/>
                    <a:stretch>
                      <a:fillRect/>
                    </a:stretch>
                  </pic:blipFill>
                  <pic:spPr>
                    <a:xfrm>
                      <a:off x="0" y="0"/>
                      <a:ext cx="5274310" cy="3014980"/>
                    </a:xfrm>
                    <a:prstGeom prst="rect">
                      <a:avLst/>
                    </a:prstGeom>
                    <a:noFill/>
                    <a:ln>
                      <a:noFill/>
                    </a:ln>
                  </pic:spPr>
                </pic:pic>
              </a:graphicData>
            </a:graphic>
          </wp:inline>
        </w:drawing>
      </w:r>
      <w:r>
        <w:rPr>
          <w:rFonts w:ascii="Times New Roman" w:hAnsi="Times New Roman" w:eastAsia="宋体" w:cs="Times New Roman"/>
          <w:szCs w:val="22"/>
        </w:rPr>
        <w:drawing>
          <wp:inline distT="0" distB="0" distL="114300" distR="114300">
            <wp:extent cx="5267325" cy="2755265"/>
            <wp:effectExtent l="0" t="0" r="9525" b="6985"/>
            <wp:docPr id="1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0"/>
                    <pic:cNvPicPr>
                      <a:picLocks noChangeAspect="1"/>
                    </pic:cNvPicPr>
                  </pic:nvPicPr>
                  <pic:blipFill>
                    <a:blip r:embed="rId16"/>
                    <a:stretch>
                      <a:fillRect/>
                    </a:stretch>
                  </pic:blipFill>
                  <pic:spPr>
                    <a:xfrm>
                      <a:off x="0" y="0"/>
                      <a:ext cx="5267325" cy="2755265"/>
                    </a:xfrm>
                    <a:prstGeom prst="rect">
                      <a:avLst/>
                    </a:prstGeom>
                    <a:noFill/>
                    <a:ln>
                      <a:noFill/>
                    </a:ln>
                  </pic:spPr>
                </pic:pic>
              </a:graphicData>
            </a:graphic>
          </wp:inline>
        </w:drawing>
      </w:r>
    </w:p>
    <w:p w14:paraId="79F1F18D">
      <w:pPr>
        <w:keepNext w:val="0"/>
        <w:keepLines w:val="0"/>
        <w:pageBreakBefore w:val="0"/>
        <w:widowControl w:val="0"/>
        <w:kinsoku/>
        <w:wordWrap/>
        <w:overflowPunct w:val="0"/>
        <w:topLinePunct w:val="0"/>
        <w:autoSpaceDE/>
        <w:autoSpaceDN/>
        <w:bidi w:val="0"/>
        <w:adjustRightInd/>
        <w:spacing w:line="360" w:lineRule="auto"/>
        <w:textAlignment w:val="auto"/>
        <w:rPr>
          <w:rFonts w:ascii="Times New Roman" w:hAnsi="Times New Roman" w:eastAsia="宋体" w:cs="Times New Roman"/>
          <w:szCs w:val="22"/>
        </w:rPr>
      </w:pPr>
    </w:p>
    <w:p w14:paraId="5B332F6F">
      <w:pPr>
        <w:keepNext w:val="0"/>
        <w:keepLines w:val="0"/>
        <w:pageBreakBefore w:val="0"/>
        <w:widowControl w:val="0"/>
        <w:kinsoku/>
        <w:wordWrap/>
        <w:overflowPunct w:val="0"/>
        <w:topLinePunct w:val="0"/>
        <w:autoSpaceDE/>
        <w:autoSpaceDN/>
        <w:bidi w:val="0"/>
        <w:adjustRightInd/>
        <w:spacing w:line="360" w:lineRule="auto"/>
        <w:textAlignment w:val="auto"/>
        <w:rPr>
          <w:rFonts w:hint="eastAsia"/>
          <w:b/>
          <w:bCs/>
          <w:sz w:val="28"/>
          <w:szCs w:val="28"/>
        </w:rPr>
        <w:sectPr>
          <w:pgSz w:w="11906" w:h="16838"/>
          <w:pgMar w:top="1440" w:right="1800" w:bottom="1440" w:left="1800" w:header="851" w:footer="992" w:gutter="0"/>
          <w:cols w:space="720" w:num="1"/>
          <w:docGrid w:type="lines" w:linePitch="312" w:charSpace="0"/>
        </w:sectPr>
      </w:pPr>
    </w:p>
    <w:p w14:paraId="12DC449B">
      <w:pPr>
        <w:keepNext w:val="0"/>
        <w:keepLines w:val="0"/>
        <w:pageBreakBefore w:val="0"/>
        <w:widowControl w:val="0"/>
        <w:kinsoku/>
        <w:wordWrap/>
        <w:overflowPunct w:val="0"/>
        <w:topLinePunct w:val="0"/>
        <w:autoSpaceDE/>
        <w:autoSpaceDN/>
        <w:bidi w:val="0"/>
        <w:adjustRightInd/>
        <w:spacing w:line="360" w:lineRule="auto"/>
        <w:textAlignment w:val="auto"/>
        <w:rPr>
          <w:rFonts w:hint="eastAsia" w:ascii="Times New Roman" w:hAnsi="Times New Roman" w:eastAsia="宋体" w:cs="Times New Roman"/>
          <w:b/>
          <w:bCs/>
          <w:sz w:val="28"/>
          <w:szCs w:val="28"/>
        </w:rPr>
      </w:pPr>
      <w:r>
        <w:rPr>
          <w:rFonts w:hint="eastAsia" w:ascii="Times New Roman" w:hAnsi="Times New Roman" w:eastAsia="宋体" w:cs="Times New Roman"/>
          <w:b/>
          <w:bCs/>
          <w:sz w:val="28"/>
          <w:szCs w:val="28"/>
        </w:rPr>
        <w:t>先进技术设备，支撑精准健康数据</w:t>
      </w:r>
    </w:p>
    <w:p w14:paraId="5EA40537">
      <w:pPr>
        <w:keepNext w:val="0"/>
        <w:keepLines w:val="0"/>
        <w:pageBreakBefore w:val="0"/>
        <w:widowControl w:val="0"/>
        <w:kinsoku/>
        <w:wordWrap/>
        <w:overflowPunct w:val="0"/>
        <w:topLinePunct w:val="0"/>
        <w:autoSpaceDE/>
        <w:autoSpaceDN/>
        <w:bidi w:val="0"/>
        <w:adjustRightInd/>
        <w:spacing w:line="360" w:lineRule="auto"/>
        <w:ind w:firstLine="420" w:firstLineChars="0"/>
        <w:textAlignment w:val="auto"/>
        <w:rPr>
          <w:rFonts w:hint="eastAsia" w:ascii="Times New Roman" w:hAnsi="Times New Roman" w:eastAsia="宋体" w:cs="Times New Roman"/>
          <w:sz w:val="28"/>
          <w:szCs w:val="28"/>
        </w:rPr>
      </w:pPr>
      <w:r>
        <w:rPr>
          <w:rFonts w:hint="eastAsia" w:ascii="Times New Roman" w:hAnsi="Times New Roman" w:eastAsia="宋体" w:cs="Times New Roman"/>
          <w:sz w:val="28"/>
          <w:szCs w:val="28"/>
          <w:lang w:eastAsia="zh-CN"/>
        </w:rPr>
        <w:drawing>
          <wp:anchor distT="0" distB="0" distL="114300" distR="114300" simplePos="0" relativeHeight="251661312" behindDoc="0" locked="0" layoutInCell="1" allowOverlap="1">
            <wp:simplePos x="0" y="0"/>
            <wp:positionH relativeFrom="column">
              <wp:posOffset>-133350</wp:posOffset>
            </wp:positionH>
            <wp:positionV relativeFrom="paragraph">
              <wp:posOffset>52070</wp:posOffset>
            </wp:positionV>
            <wp:extent cx="5649595" cy="1819910"/>
            <wp:effectExtent l="0" t="0" r="8255" b="8890"/>
            <wp:wrapTopAndBottom/>
            <wp:docPr id="4" name="图片 42" descr="67e2ee10319c1558adf564a3fc41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2" descr="67e2ee10319c1558adf564a3fc4101b"/>
                    <pic:cNvPicPr>
                      <a:picLocks noChangeAspect="1"/>
                    </pic:cNvPicPr>
                  </pic:nvPicPr>
                  <pic:blipFill>
                    <a:blip r:embed="rId17"/>
                    <a:stretch>
                      <a:fillRect/>
                    </a:stretch>
                  </pic:blipFill>
                  <pic:spPr>
                    <a:xfrm>
                      <a:off x="0" y="0"/>
                      <a:ext cx="5649595" cy="1819910"/>
                    </a:xfrm>
                    <a:prstGeom prst="rect">
                      <a:avLst/>
                    </a:prstGeom>
                    <a:noFill/>
                    <a:ln>
                      <a:noFill/>
                    </a:ln>
                  </pic:spPr>
                </pic:pic>
              </a:graphicData>
            </a:graphic>
          </wp:anchor>
        </w:drawing>
      </w:r>
      <w:r>
        <w:rPr>
          <w:rFonts w:hint="eastAsia" w:ascii="Times New Roman" w:hAnsi="Times New Roman" w:eastAsia="宋体" w:cs="Times New Roman"/>
          <w:sz w:val="28"/>
          <w:szCs w:val="28"/>
          <w:lang w:val="en-US" w:eastAsia="zh-CN"/>
        </w:rPr>
        <w:t>2024年，</w:t>
      </w:r>
      <w:r>
        <w:rPr>
          <w:rFonts w:hint="eastAsia" w:ascii="Times New Roman" w:hAnsi="Times New Roman" w:eastAsia="宋体" w:cs="Times New Roman"/>
          <w:sz w:val="28"/>
          <w:szCs w:val="28"/>
        </w:rPr>
        <w:t>全国首台NAEOTOM Alpha光子计数CT（光子CT）落户医院</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同时，</w:t>
      </w:r>
      <w:r>
        <w:rPr>
          <w:rFonts w:hint="eastAsia" w:ascii="Times New Roman" w:hAnsi="Times New Roman" w:eastAsia="宋体" w:cs="Times New Roman"/>
          <w:sz w:val="28"/>
          <w:szCs w:val="28"/>
        </w:rPr>
        <w:t>中心拥有独立</w:t>
      </w:r>
      <w:r>
        <w:rPr>
          <w:rFonts w:hint="eastAsia" w:ascii="Times New Roman" w:hAnsi="Times New Roman" w:eastAsia="宋体" w:cs="Times New Roman"/>
          <w:sz w:val="28"/>
          <w:szCs w:val="28"/>
          <w:lang w:eastAsia="zh-CN"/>
        </w:rPr>
        <w:t>的</w:t>
      </w:r>
      <w:r>
        <w:rPr>
          <w:rFonts w:hint="eastAsia" w:ascii="Times New Roman" w:hAnsi="Times New Roman" w:eastAsia="宋体" w:cs="Times New Roman"/>
          <w:sz w:val="28"/>
          <w:szCs w:val="28"/>
        </w:rPr>
        <w:t>体检专用高端CT、彩超、</w:t>
      </w:r>
      <w:r>
        <w:rPr>
          <w:rFonts w:hint="eastAsia" w:ascii="Times New Roman" w:hAnsi="Times New Roman" w:eastAsia="宋体" w:cs="Times New Roman"/>
          <w:sz w:val="28"/>
          <w:szCs w:val="28"/>
          <w:lang w:eastAsia="zh-CN"/>
        </w:rPr>
        <w:t>双能</w:t>
      </w:r>
      <w:r>
        <w:rPr>
          <w:rFonts w:hint="eastAsia" w:ascii="Times New Roman" w:hAnsi="Times New Roman" w:eastAsia="宋体" w:cs="Times New Roman"/>
          <w:sz w:val="28"/>
          <w:szCs w:val="28"/>
        </w:rPr>
        <w:t>骨密度</w:t>
      </w:r>
      <w:r>
        <w:rPr>
          <w:rFonts w:hint="eastAsia" w:ascii="Times New Roman" w:hAnsi="Times New Roman" w:eastAsia="宋体" w:cs="Times New Roman"/>
          <w:sz w:val="28"/>
          <w:szCs w:val="28"/>
          <w:lang w:eastAsia="zh-CN"/>
        </w:rPr>
        <w:t>检测</w:t>
      </w:r>
      <w:r>
        <w:rPr>
          <w:rFonts w:hint="eastAsia" w:ascii="Times New Roman" w:hAnsi="Times New Roman" w:eastAsia="宋体" w:cs="Times New Roman"/>
          <w:sz w:val="28"/>
          <w:szCs w:val="28"/>
        </w:rPr>
        <w:t>仪、</w:t>
      </w:r>
      <w:r>
        <w:rPr>
          <w:rFonts w:hint="eastAsia" w:ascii="Times New Roman" w:hAnsi="Times New Roman" w:eastAsia="宋体" w:cs="Times New Roman"/>
          <w:sz w:val="28"/>
          <w:szCs w:val="28"/>
          <w:lang w:eastAsia="zh-CN"/>
        </w:rPr>
        <w:t>Fibroscan肝脂肪变及硬度检测、内脏脂肪检测仪、动脉硬化检测</w:t>
      </w:r>
      <w:r>
        <w:rPr>
          <w:rFonts w:hint="eastAsia" w:ascii="Times New Roman" w:hAnsi="Times New Roman" w:eastAsia="宋体" w:cs="Times New Roman"/>
          <w:sz w:val="28"/>
          <w:szCs w:val="28"/>
          <w:lang w:val="en-US" w:eastAsia="zh-CN"/>
        </w:rPr>
        <w:t>仪</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rPr>
        <w:t>PEM心理健康管理系统</w:t>
      </w:r>
      <w:r>
        <w:rPr>
          <w:rFonts w:hint="eastAsia" w:ascii="Times New Roman" w:hAnsi="Times New Roman" w:eastAsia="宋体" w:cs="Times New Roman"/>
          <w:sz w:val="28"/>
          <w:szCs w:val="28"/>
          <w:lang w:eastAsia="zh-CN"/>
        </w:rPr>
        <w:t>、国民体测一体机</w:t>
      </w:r>
      <w:r>
        <w:rPr>
          <w:rFonts w:hint="eastAsia" w:ascii="Times New Roman" w:hAnsi="Times New Roman" w:eastAsia="宋体" w:cs="Times New Roman"/>
          <w:sz w:val="28"/>
          <w:szCs w:val="28"/>
        </w:rPr>
        <w:t>等先进仪器设备，设备性能优越、精准度高，为体检者提供科学、准确的健康</w:t>
      </w:r>
      <w:r>
        <w:rPr>
          <w:rFonts w:hint="eastAsia" w:ascii="Times New Roman" w:hAnsi="Times New Roman" w:eastAsia="宋体" w:cs="Times New Roman"/>
          <w:sz w:val="28"/>
          <w:szCs w:val="28"/>
          <w:lang w:eastAsia="zh-CN"/>
        </w:rPr>
        <w:t>数据</w:t>
      </w:r>
      <w:r>
        <w:rPr>
          <w:rFonts w:hint="eastAsia" w:ascii="Times New Roman" w:hAnsi="Times New Roman" w:eastAsia="宋体" w:cs="Times New Roman"/>
          <w:sz w:val="28"/>
          <w:szCs w:val="28"/>
        </w:rPr>
        <w:t>。</w:t>
      </w:r>
    </w:p>
    <w:p w14:paraId="4DBB4A9A">
      <w:pPr>
        <w:keepNext w:val="0"/>
        <w:keepLines w:val="0"/>
        <w:pageBreakBefore w:val="0"/>
        <w:widowControl w:val="0"/>
        <w:kinsoku/>
        <w:wordWrap/>
        <w:overflowPunct w:val="0"/>
        <w:topLinePunct w:val="0"/>
        <w:autoSpaceDE/>
        <w:autoSpaceDN/>
        <w:bidi w:val="0"/>
        <w:adjustRightInd/>
        <w:spacing w:line="360" w:lineRule="auto"/>
        <w:textAlignment w:val="auto"/>
        <w:rPr>
          <w:rFonts w:hint="eastAsia" w:ascii="Calibri" w:hAnsi="Calibri" w:eastAsia="宋体" w:cs="Times New Roman"/>
          <w:b/>
          <w:bCs/>
          <w:sz w:val="28"/>
          <w:szCs w:val="28"/>
          <w:lang w:eastAsia="zh-CN"/>
        </w:rPr>
      </w:pPr>
    </w:p>
    <w:p w14:paraId="1BEEC403">
      <w:pPr>
        <w:keepNext w:val="0"/>
        <w:keepLines w:val="0"/>
        <w:pageBreakBefore w:val="0"/>
        <w:widowControl w:val="0"/>
        <w:kinsoku/>
        <w:wordWrap/>
        <w:overflowPunct w:val="0"/>
        <w:topLinePunct w:val="0"/>
        <w:autoSpaceDE/>
        <w:autoSpaceDN/>
        <w:bidi w:val="0"/>
        <w:adjustRightInd/>
        <w:spacing w:line="360" w:lineRule="auto"/>
        <w:textAlignment w:val="auto"/>
        <w:rPr>
          <w:rFonts w:hint="eastAsia" w:ascii="Calibri" w:hAnsi="Calibri" w:eastAsia="宋体" w:cs="Times New Roman"/>
          <w:b/>
          <w:bCs/>
          <w:sz w:val="28"/>
          <w:szCs w:val="28"/>
        </w:rPr>
      </w:pPr>
      <w:r>
        <w:rPr>
          <w:rFonts w:hint="eastAsia" w:ascii="Calibri" w:hAnsi="Calibri" w:eastAsia="宋体" w:cs="Times New Roman"/>
          <w:b/>
          <w:bCs/>
          <w:sz w:val="28"/>
          <w:szCs w:val="28"/>
          <w:lang w:eastAsia="zh-CN"/>
        </w:rPr>
        <w:t>专业医疗团队，保障全程健康管理</w:t>
      </w:r>
    </w:p>
    <w:p w14:paraId="5EE25C84">
      <w:pPr>
        <w:keepNext w:val="0"/>
        <w:keepLines w:val="0"/>
        <w:pageBreakBefore w:val="0"/>
        <w:widowControl w:val="0"/>
        <w:kinsoku/>
        <w:wordWrap/>
        <w:overflowPunct w:val="0"/>
        <w:topLinePunct w:val="0"/>
        <w:autoSpaceDE/>
        <w:autoSpaceDN/>
        <w:bidi w:val="0"/>
        <w:adjustRightInd/>
        <w:spacing w:line="360" w:lineRule="auto"/>
        <w:ind w:firstLine="420" w:firstLineChars="0"/>
        <w:textAlignment w:val="auto"/>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健康管理中心学科带头人王颖主任原任江苏省人民医院消化内科教研室副主任，现为南京医科大学全科教研室副主任、南京医科大学硕士研究生导师、</w:t>
      </w:r>
      <w:r>
        <w:rPr>
          <w:rFonts w:hint="eastAsia" w:ascii="宋体" w:hAnsi="宋体" w:eastAsia="宋体" w:cs="Times New Roman"/>
          <w:sz w:val="28"/>
          <w:szCs w:val="28"/>
          <w:highlight w:val="none"/>
          <w:lang w:val="en-US" w:eastAsia="zh-CN"/>
        </w:rPr>
        <w:t>江苏省医学会健康管理学分会委员、中国医师协会医师健康管理与医师健康保险专业委员会组员、</w:t>
      </w:r>
      <w:r>
        <w:rPr>
          <w:rFonts w:hint="eastAsia" w:ascii="Times New Roman" w:hAnsi="Times New Roman" w:eastAsia="宋体" w:cs="Times New Roman"/>
          <w:sz w:val="28"/>
          <w:szCs w:val="36"/>
          <w:highlight w:val="none"/>
        </w:rPr>
        <w:t>中国健康管理协会机构建设分会理事</w:t>
      </w:r>
      <w:r>
        <w:rPr>
          <w:rFonts w:hint="eastAsia" w:ascii="Times New Roman" w:hAnsi="Times New Roman" w:eastAsia="宋体" w:cs="Times New Roman"/>
          <w:sz w:val="28"/>
          <w:szCs w:val="36"/>
          <w:highlight w:val="none"/>
          <w:lang w:eastAsia="zh-CN"/>
        </w:rPr>
        <w:t>、</w:t>
      </w:r>
      <w:r>
        <w:rPr>
          <w:rFonts w:hint="eastAsia" w:ascii="Times New Roman" w:hAnsi="Times New Roman" w:eastAsia="宋体" w:cs="Times New Roman"/>
          <w:sz w:val="28"/>
          <w:szCs w:val="36"/>
          <w:highlight w:val="none"/>
        </w:rPr>
        <w:t>江苏省医学会科学普及分会委员</w:t>
      </w:r>
      <w:r>
        <w:rPr>
          <w:rFonts w:hint="eastAsia" w:ascii="Times New Roman" w:hAnsi="Times New Roman" w:eastAsia="宋体" w:cs="Times New Roman"/>
          <w:sz w:val="28"/>
          <w:szCs w:val="36"/>
          <w:highlight w:val="none"/>
          <w:lang w:eastAsia="zh-CN"/>
        </w:rPr>
        <w:t>、</w:t>
      </w:r>
      <w:r>
        <w:rPr>
          <w:rFonts w:hint="eastAsia" w:ascii="Times New Roman" w:hAnsi="Times New Roman" w:eastAsia="宋体" w:cs="Times New Roman"/>
          <w:sz w:val="28"/>
          <w:szCs w:val="36"/>
          <w:highlight w:val="none"/>
        </w:rPr>
        <w:t>江苏省医学会消化病分会胃肠动力学组成员</w:t>
      </w:r>
      <w:r>
        <w:rPr>
          <w:rFonts w:hint="eastAsia" w:ascii="Times New Roman" w:hAnsi="Times New Roman" w:eastAsia="宋体" w:cs="Times New Roman"/>
          <w:sz w:val="28"/>
          <w:szCs w:val="36"/>
          <w:highlight w:val="none"/>
          <w:lang w:eastAsia="zh-CN"/>
        </w:rPr>
        <w:t>、</w:t>
      </w:r>
      <w:r>
        <w:rPr>
          <w:rFonts w:hint="eastAsia" w:ascii="Times New Roman" w:hAnsi="Times New Roman" w:eastAsia="宋体" w:cs="Times New Roman"/>
          <w:sz w:val="28"/>
          <w:szCs w:val="36"/>
          <w:highlight w:val="none"/>
        </w:rPr>
        <w:t>江苏省中西医结合学会亚健康专业委员会委员</w:t>
      </w:r>
      <w:r>
        <w:rPr>
          <w:rFonts w:hint="eastAsia" w:ascii="Times New Roman" w:hAnsi="Times New Roman" w:eastAsia="宋体" w:cs="Times New Roman"/>
          <w:sz w:val="28"/>
          <w:szCs w:val="36"/>
          <w:highlight w:val="none"/>
          <w:lang w:eastAsia="zh-CN"/>
        </w:rPr>
        <w:t>、</w:t>
      </w:r>
      <w:r>
        <w:rPr>
          <w:rFonts w:hint="eastAsia" w:ascii="Times New Roman" w:hAnsi="Times New Roman" w:eastAsia="宋体" w:cs="Times New Roman"/>
          <w:sz w:val="28"/>
          <w:szCs w:val="36"/>
          <w:highlight w:val="none"/>
        </w:rPr>
        <w:t>江苏省医院协会疾病与健康管理专业委员会常务委员</w:t>
      </w:r>
      <w:r>
        <w:rPr>
          <w:rFonts w:hint="eastAsia" w:ascii="Times New Roman" w:hAnsi="Times New Roman" w:eastAsia="宋体" w:cs="Times New Roman"/>
          <w:sz w:val="28"/>
          <w:szCs w:val="36"/>
          <w:highlight w:val="none"/>
          <w:lang w:eastAsia="zh-CN"/>
        </w:rPr>
        <w:t>、</w:t>
      </w:r>
      <w:r>
        <w:rPr>
          <w:rFonts w:hint="eastAsia" w:ascii="Times New Roman" w:hAnsi="Times New Roman" w:eastAsia="宋体" w:cs="Times New Roman"/>
          <w:sz w:val="28"/>
          <w:szCs w:val="36"/>
          <w:highlight w:val="none"/>
        </w:rPr>
        <w:t>江苏省健康管理学会慢病管理分会委员</w:t>
      </w:r>
      <w:r>
        <w:rPr>
          <w:rFonts w:hint="eastAsia" w:ascii="Times New Roman" w:hAnsi="Times New Roman" w:eastAsia="宋体" w:cs="Times New Roman"/>
          <w:sz w:val="28"/>
          <w:szCs w:val="36"/>
          <w:highlight w:val="none"/>
          <w:lang w:eastAsia="zh-CN"/>
        </w:rPr>
        <w:t>、</w:t>
      </w:r>
      <w:r>
        <w:rPr>
          <w:rFonts w:hint="eastAsia" w:ascii="Times New Roman" w:hAnsi="Times New Roman" w:eastAsia="宋体" w:cs="Times New Roman"/>
          <w:sz w:val="28"/>
          <w:szCs w:val="36"/>
          <w:highlight w:val="none"/>
        </w:rPr>
        <w:t>江苏省康复医学会消化康复专业委员会委员</w:t>
      </w:r>
      <w:r>
        <w:rPr>
          <w:rFonts w:hint="eastAsia" w:ascii="Times New Roman" w:hAnsi="Times New Roman" w:eastAsia="宋体" w:cs="Times New Roman"/>
          <w:sz w:val="28"/>
          <w:szCs w:val="36"/>
          <w:highlight w:val="none"/>
          <w:lang w:eastAsia="zh-CN"/>
        </w:rPr>
        <w:t>、</w:t>
      </w:r>
      <w:r>
        <w:rPr>
          <w:rFonts w:hint="eastAsia" w:ascii="Times New Roman" w:hAnsi="Times New Roman" w:eastAsia="宋体" w:cs="Times New Roman"/>
          <w:sz w:val="28"/>
          <w:szCs w:val="36"/>
          <w:highlight w:val="none"/>
        </w:rPr>
        <w:t>江苏省中医养生学会脾胃分会常务委员</w:t>
      </w:r>
      <w:r>
        <w:rPr>
          <w:rFonts w:hint="eastAsia" w:ascii="Times New Roman" w:hAnsi="Times New Roman" w:eastAsia="宋体" w:cs="Times New Roman"/>
          <w:sz w:val="28"/>
          <w:szCs w:val="36"/>
          <w:highlight w:val="none"/>
          <w:lang w:eastAsia="zh-CN"/>
        </w:rPr>
        <w:t>、</w:t>
      </w:r>
      <w:r>
        <w:rPr>
          <w:rFonts w:hint="eastAsia" w:ascii="Times New Roman" w:hAnsi="Times New Roman" w:eastAsia="宋体" w:cs="Times New Roman"/>
          <w:sz w:val="28"/>
          <w:szCs w:val="36"/>
          <w:highlight w:val="none"/>
        </w:rPr>
        <w:t>南京医学会健康管理学分会委员</w:t>
      </w:r>
      <w:r>
        <w:rPr>
          <w:rFonts w:hint="eastAsia" w:ascii="Times New Roman" w:hAnsi="Times New Roman" w:eastAsia="宋体" w:cs="Times New Roman"/>
          <w:sz w:val="28"/>
          <w:szCs w:val="36"/>
          <w:highlight w:val="none"/>
          <w:lang w:eastAsia="zh-CN"/>
        </w:rPr>
        <w:t>、</w:t>
      </w:r>
      <w:r>
        <w:rPr>
          <w:rFonts w:hint="eastAsia" w:ascii="Times New Roman" w:hAnsi="Times New Roman" w:eastAsia="宋体" w:cs="Times New Roman"/>
          <w:sz w:val="28"/>
          <w:szCs w:val="36"/>
          <w:highlight w:val="none"/>
        </w:rPr>
        <w:t>“三高共管心脑血管病防治健康管理项目”专家委员会委员</w:t>
      </w:r>
      <w:r>
        <w:rPr>
          <w:rFonts w:hint="eastAsia" w:ascii="Times New Roman" w:hAnsi="Times New Roman" w:eastAsia="宋体" w:cs="Times New Roman"/>
          <w:sz w:val="28"/>
          <w:szCs w:val="36"/>
          <w:highlight w:val="none"/>
          <w:lang w:eastAsia="zh-CN"/>
        </w:rPr>
        <w:t>、</w:t>
      </w:r>
      <w:r>
        <w:rPr>
          <w:rFonts w:hint="eastAsia" w:ascii="Times New Roman" w:hAnsi="Times New Roman" w:eastAsia="宋体" w:cs="Times New Roman"/>
          <w:sz w:val="28"/>
          <w:szCs w:val="36"/>
          <w:highlight w:val="none"/>
        </w:rPr>
        <w:t>江苏省“六大人才高峰”高层次人才。</w:t>
      </w:r>
    </w:p>
    <w:p w14:paraId="6CCC0144">
      <w:pPr>
        <w:keepNext w:val="0"/>
        <w:keepLines w:val="0"/>
        <w:pageBreakBefore w:val="0"/>
        <w:widowControl w:val="0"/>
        <w:kinsoku/>
        <w:wordWrap/>
        <w:overflowPunct w:val="0"/>
        <w:topLinePunct w:val="0"/>
        <w:autoSpaceDE/>
        <w:autoSpaceDN/>
        <w:bidi w:val="0"/>
        <w:adjustRightInd/>
        <w:spacing w:line="360" w:lineRule="auto"/>
        <w:ind w:firstLine="420" w:firstLineChars="0"/>
        <w:textAlignment w:val="auto"/>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中心以医院综合实力为依托，集萃丰富的医疗、保健经验和一流的人才，拥有一支由高年资主任医师带领的临床资深业务骨干组成的主检、超声、放射、检验等专业团队，并有高素质的护理团队和专业化的导检队伍，提供贴心周到的“一站式”服务。</w:t>
      </w:r>
    </w:p>
    <w:p w14:paraId="2D0AC5DF">
      <w:pPr>
        <w:keepNext w:val="0"/>
        <w:keepLines w:val="0"/>
        <w:pageBreakBefore w:val="0"/>
        <w:widowControl w:val="0"/>
        <w:kinsoku/>
        <w:wordWrap/>
        <w:overflowPunct w:val="0"/>
        <w:topLinePunct w:val="0"/>
        <w:autoSpaceDE/>
        <w:autoSpaceDN/>
        <w:bidi w:val="0"/>
        <w:adjustRightInd/>
        <w:spacing w:line="360" w:lineRule="auto"/>
        <w:jc w:val="center"/>
        <w:textAlignment w:val="auto"/>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055235" cy="3199130"/>
            <wp:effectExtent l="0" t="0" r="12065" b="1270"/>
            <wp:docPr id="14" name="图片 4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1" descr="图片2"/>
                    <pic:cNvPicPr>
                      <a:picLocks noChangeAspect="1"/>
                    </pic:cNvPicPr>
                  </pic:nvPicPr>
                  <pic:blipFill>
                    <a:blip r:embed="rId18"/>
                    <a:stretch>
                      <a:fillRect/>
                    </a:stretch>
                  </pic:blipFill>
                  <pic:spPr>
                    <a:xfrm>
                      <a:off x="0" y="0"/>
                      <a:ext cx="5055235" cy="3199130"/>
                    </a:xfrm>
                    <a:prstGeom prst="rect">
                      <a:avLst/>
                    </a:prstGeom>
                    <a:noFill/>
                    <a:ln>
                      <a:noFill/>
                    </a:ln>
                  </pic:spPr>
                </pic:pic>
              </a:graphicData>
            </a:graphic>
          </wp:inline>
        </w:drawing>
      </w:r>
    </w:p>
    <w:p w14:paraId="56EC0C27">
      <w:pPr>
        <w:keepNext w:val="0"/>
        <w:keepLines w:val="0"/>
        <w:pageBreakBefore w:val="0"/>
        <w:widowControl w:val="0"/>
        <w:kinsoku/>
        <w:wordWrap/>
        <w:overflowPunct w:val="0"/>
        <w:topLinePunct w:val="0"/>
        <w:autoSpaceDE/>
        <w:autoSpaceDN/>
        <w:bidi w:val="0"/>
        <w:adjustRightInd/>
        <w:spacing w:line="360" w:lineRule="auto"/>
        <w:ind w:firstLine="562" w:firstLineChars="200"/>
        <w:textAlignment w:val="auto"/>
        <w:rPr>
          <w:rFonts w:hint="eastAsia" w:ascii="Times New Roman" w:hAnsi="Times New Roman" w:eastAsia="宋体" w:cs="Times New Roman"/>
          <w:sz w:val="28"/>
          <w:szCs w:val="28"/>
        </w:rPr>
      </w:pPr>
      <w:r>
        <w:rPr>
          <w:rFonts w:hint="eastAsia" w:ascii="Times New Roman" w:hAnsi="Times New Roman" w:eastAsia="宋体" w:cs="Times New Roman"/>
          <w:b/>
          <w:bCs/>
          <w:sz w:val="28"/>
          <w:szCs w:val="28"/>
        </w:rPr>
        <w:t>检前</w:t>
      </w:r>
      <w:r>
        <w:rPr>
          <w:rFonts w:hint="eastAsia" w:ascii="Times New Roman" w:hAnsi="Times New Roman" w:eastAsia="宋体" w:cs="Times New Roman"/>
          <w:sz w:val="28"/>
          <w:szCs w:val="28"/>
        </w:rPr>
        <w:t>：</w:t>
      </w:r>
      <w:r>
        <w:rPr>
          <w:rFonts w:hint="eastAsia" w:ascii="Times New Roman" w:hAnsi="Times New Roman" w:eastAsia="宋体" w:cs="Times New Roman"/>
          <w:sz w:val="28"/>
          <w:szCs w:val="28"/>
          <w:lang w:eastAsia="zh-CN"/>
        </w:rPr>
        <w:t>中心设置检前门诊，专业医生团队为体检者</w:t>
      </w:r>
      <w:r>
        <w:rPr>
          <w:rFonts w:hint="eastAsia" w:ascii="Times New Roman" w:hAnsi="Times New Roman" w:eastAsia="宋体" w:cs="Times New Roman"/>
          <w:sz w:val="28"/>
          <w:szCs w:val="28"/>
        </w:rPr>
        <w:t>提供</w:t>
      </w:r>
      <w:r>
        <w:rPr>
          <w:rFonts w:hint="eastAsia" w:ascii="Times New Roman" w:hAnsi="Times New Roman" w:eastAsia="宋体" w:cs="Times New Roman"/>
          <w:sz w:val="28"/>
          <w:szCs w:val="28"/>
          <w:lang w:eastAsia="zh-CN"/>
        </w:rPr>
        <w:t>专业</w:t>
      </w:r>
      <w:r>
        <w:rPr>
          <w:rFonts w:hint="eastAsia" w:ascii="Times New Roman" w:hAnsi="Times New Roman" w:eastAsia="宋体" w:cs="Times New Roman"/>
          <w:sz w:val="28"/>
          <w:szCs w:val="28"/>
        </w:rPr>
        <w:t>咨询，</w:t>
      </w:r>
      <w:r>
        <w:rPr>
          <w:rFonts w:hint="eastAsia" w:ascii="Times New Roman" w:hAnsi="Times New Roman" w:eastAsia="宋体" w:cs="Times New Roman"/>
          <w:sz w:val="28"/>
          <w:szCs w:val="28"/>
          <w:lang w:eastAsia="zh-CN"/>
        </w:rPr>
        <w:t>定制</w:t>
      </w:r>
      <w:r>
        <w:rPr>
          <w:rFonts w:hint="eastAsia" w:ascii="Times New Roman" w:hAnsi="Times New Roman" w:eastAsia="宋体" w:cs="Times New Roman"/>
          <w:sz w:val="28"/>
          <w:szCs w:val="28"/>
        </w:rPr>
        <w:t>个</w:t>
      </w:r>
      <w:r>
        <w:rPr>
          <w:rFonts w:hint="eastAsia" w:ascii="Times New Roman" w:hAnsi="Times New Roman" w:eastAsia="宋体" w:cs="Times New Roman"/>
          <w:sz w:val="28"/>
          <w:szCs w:val="28"/>
          <w:lang w:eastAsia="zh-CN"/>
        </w:rPr>
        <w:t>性</w:t>
      </w:r>
      <w:r>
        <w:rPr>
          <w:rFonts w:hint="eastAsia" w:ascii="Times New Roman" w:hAnsi="Times New Roman" w:eastAsia="宋体" w:cs="Times New Roman"/>
          <w:sz w:val="28"/>
          <w:szCs w:val="28"/>
        </w:rPr>
        <w:t>化“1+X”体检方案。</w:t>
      </w:r>
    </w:p>
    <w:p w14:paraId="6C029D01">
      <w:pPr>
        <w:keepNext w:val="0"/>
        <w:keepLines w:val="0"/>
        <w:pageBreakBefore w:val="0"/>
        <w:widowControl w:val="0"/>
        <w:kinsoku/>
        <w:wordWrap/>
        <w:overflowPunct w:val="0"/>
        <w:topLinePunct w:val="0"/>
        <w:autoSpaceDE/>
        <w:autoSpaceDN/>
        <w:bidi w:val="0"/>
        <w:adjustRightInd/>
        <w:spacing w:line="360" w:lineRule="auto"/>
        <w:ind w:firstLine="562" w:firstLineChars="200"/>
        <w:textAlignment w:val="auto"/>
        <w:rPr>
          <w:rFonts w:hint="eastAsia" w:ascii="Times New Roman" w:hAnsi="Times New Roman" w:eastAsia="宋体" w:cs="Times New Roman"/>
          <w:sz w:val="28"/>
          <w:szCs w:val="28"/>
        </w:rPr>
      </w:pPr>
      <w:r>
        <w:rPr>
          <w:rFonts w:hint="eastAsia" w:ascii="Times New Roman" w:hAnsi="Times New Roman" w:eastAsia="宋体" w:cs="Times New Roman"/>
          <w:b/>
          <w:bCs/>
          <w:sz w:val="28"/>
          <w:szCs w:val="28"/>
        </w:rPr>
        <w:t>检中</w:t>
      </w:r>
      <w:r>
        <w:rPr>
          <w:rFonts w:hint="eastAsia" w:ascii="Times New Roman" w:hAnsi="Times New Roman" w:eastAsia="宋体" w:cs="Times New Roman"/>
          <w:sz w:val="28"/>
          <w:szCs w:val="28"/>
        </w:rPr>
        <w:t>：</w:t>
      </w:r>
      <w:r>
        <w:rPr>
          <w:rFonts w:hint="eastAsia" w:ascii="Times New Roman" w:hAnsi="Times New Roman" w:eastAsia="宋体" w:cs="Times New Roman"/>
          <w:sz w:val="28"/>
          <w:szCs w:val="28"/>
          <w:lang w:eastAsia="zh-CN"/>
        </w:rPr>
        <w:t>围绕</w:t>
      </w:r>
      <w:r>
        <w:rPr>
          <w:rFonts w:hint="eastAsia" w:ascii="Times New Roman" w:hAnsi="Times New Roman" w:eastAsia="宋体" w:cs="Times New Roman"/>
          <w:sz w:val="28"/>
          <w:szCs w:val="28"/>
        </w:rPr>
        <w:t>常见肿瘤早期筛查及心脑血管</w:t>
      </w:r>
      <w:r>
        <w:rPr>
          <w:rFonts w:hint="eastAsia" w:ascii="Times New Roman" w:hAnsi="Times New Roman" w:eastAsia="宋体" w:cs="Times New Roman"/>
          <w:sz w:val="28"/>
          <w:szCs w:val="28"/>
          <w:lang w:eastAsia="zh-CN"/>
        </w:rPr>
        <w:t>疾病筛查开展深度体检</w:t>
      </w:r>
      <w:r>
        <w:rPr>
          <w:rFonts w:hint="eastAsia" w:ascii="Times New Roman" w:hAnsi="Times New Roman" w:eastAsia="宋体" w:cs="Times New Roman"/>
          <w:sz w:val="28"/>
          <w:szCs w:val="28"/>
        </w:rPr>
        <w:t>。</w:t>
      </w:r>
    </w:p>
    <w:p w14:paraId="4A516AFF">
      <w:pPr>
        <w:keepNext w:val="0"/>
        <w:keepLines w:val="0"/>
        <w:pageBreakBefore w:val="0"/>
        <w:widowControl w:val="0"/>
        <w:kinsoku/>
        <w:wordWrap/>
        <w:overflowPunct w:val="0"/>
        <w:topLinePunct w:val="0"/>
        <w:autoSpaceDE/>
        <w:autoSpaceDN/>
        <w:bidi w:val="0"/>
        <w:adjustRightInd/>
        <w:spacing w:line="360" w:lineRule="auto"/>
        <w:ind w:firstLine="562" w:firstLineChars="200"/>
        <w:textAlignment w:val="auto"/>
        <w:rPr>
          <w:rFonts w:hint="eastAsia" w:ascii="Times New Roman" w:hAnsi="Times New Roman" w:eastAsia="宋体" w:cs="Times New Roman"/>
          <w:sz w:val="28"/>
          <w:szCs w:val="28"/>
        </w:rPr>
      </w:pPr>
      <w:r>
        <w:rPr>
          <w:rFonts w:hint="eastAsia" w:ascii="Times New Roman" w:hAnsi="Times New Roman" w:eastAsia="宋体" w:cs="Times New Roman"/>
          <w:b/>
          <w:bCs/>
          <w:sz w:val="28"/>
          <w:szCs w:val="28"/>
        </w:rPr>
        <w:t>检后</w:t>
      </w:r>
      <w:r>
        <w:rPr>
          <w:rFonts w:hint="eastAsia" w:ascii="Times New Roman" w:hAnsi="Times New Roman" w:eastAsia="宋体" w:cs="Times New Roman"/>
          <w:sz w:val="28"/>
          <w:szCs w:val="28"/>
        </w:rPr>
        <w:t>：具备高级职称的主检医师对检查结果进行全面分析，提出科学的健康诊断和建议，开展专科咨询、检后健康干预。</w:t>
      </w:r>
    </w:p>
    <w:p w14:paraId="2859616E">
      <w:pPr>
        <w:keepNext w:val="0"/>
        <w:keepLines w:val="0"/>
        <w:pageBreakBefore w:val="0"/>
        <w:widowControl w:val="0"/>
        <w:kinsoku/>
        <w:wordWrap/>
        <w:overflowPunct w:val="0"/>
        <w:topLinePunct w:val="0"/>
        <w:autoSpaceDE/>
        <w:autoSpaceDN/>
        <w:bidi w:val="0"/>
        <w:adjustRightInd/>
        <w:spacing w:line="360" w:lineRule="auto"/>
        <w:ind w:firstLine="562" w:firstLineChars="200"/>
        <w:textAlignment w:val="auto"/>
        <w:rPr>
          <w:rFonts w:hint="eastAsia" w:ascii="Times New Roman" w:hAnsi="Times New Roman" w:eastAsia="宋体" w:cs="Times New Roman"/>
          <w:sz w:val="28"/>
          <w:szCs w:val="28"/>
        </w:rPr>
      </w:pPr>
      <w:r>
        <w:rPr>
          <w:rFonts w:hint="eastAsia" w:ascii="Times New Roman" w:hAnsi="Times New Roman" w:eastAsia="宋体" w:cs="Times New Roman"/>
          <w:b/>
          <w:bCs/>
          <w:sz w:val="28"/>
          <w:szCs w:val="28"/>
          <w:lang w:eastAsia="zh-CN"/>
        </w:rPr>
        <w:t>检后</w:t>
      </w:r>
      <w:r>
        <w:rPr>
          <w:rFonts w:hint="eastAsia" w:ascii="Times New Roman" w:hAnsi="Times New Roman" w:eastAsia="宋体" w:cs="Times New Roman"/>
          <w:b/>
          <w:bCs/>
          <w:sz w:val="28"/>
          <w:szCs w:val="28"/>
        </w:rPr>
        <w:t>健康管理门诊</w:t>
      </w:r>
      <w:r>
        <w:rPr>
          <w:rFonts w:hint="eastAsia" w:ascii="Times New Roman" w:hAnsi="Times New Roman" w:eastAsia="宋体" w:cs="Times New Roman"/>
          <w:sz w:val="28"/>
          <w:szCs w:val="28"/>
        </w:rPr>
        <w:t>：</w:t>
      </w:r>
      <w:r>
        <w:rPr>
          <w:rFonts w:hint="eastAsia" w:ascii="Times New Roman" w:hAnsi="Times New Roman" w:eastAsia="宋体" w:cs="Times New Roman"/>
          <w:b w:val="0"/>
          <w:bCs w:val="0"/>
          <w:sz w:val="28"/>
          <w:szCs w:val="28"/>
          <w:lang w:val="en-US" w:eastAsia="zh-CN"/>
        </w:rPr>
        <w:t>中心</w:t>
      </w:r>
      <w:r>
        <w:rPr>
          <w:rFonts w:hint="eastAsia" w:ascii="Times New Roman" w:hAnsi="Times New Roman" w:eastAsia="宋体" w:cs="Times New Roman"/>
          <w:sz w:val="28"/>
          <w:szCs w:val="28"/>
        </w:rPr>
        <w:t>与各专科协作提供</w:t>
      </w:r>
      <w:r>
        <w:rPr>
          <w:rFonts w:hint="eastAsia" w:ascii="Times New Roman" w:hAnsi="Times New Roman" w:eastAsia="宋体" w:cs="Times New Roman"/>
          <w:sz w:val="28"/>
          <w:szCs w:val="28"/>
          <w:lang w:eastAsia="zh-CN"/>
        </w:rPr>
        <w:t>消化内科、心血管内科、</w:t>
      </w:r>
      <w:r>
        <w:rPr>
          <w:rFonts w:hint="eastAsia" w:ascii="Times New Roman" w:hAnsi="Times New Roman" w:eastAsia="宋体" w:cs="Times New Roman"/>
          <w:sz w:val="28"/>
          <w:szCs w:val="28"/>
        </w:rPr>
        <w:t>内分泌</w:t>
      </w:r>
      <w:r>
        <w:rPr>
          <w:rFonts w:hint="eastAsia" w:ascii="Times New Roman" w:hAnsi="Times New Roman" w:eastAsia="宋体" w:cs="Times New Roman"/>
          <w:sz w:val="28"/>
          <w:szCs w:val="28"/>
          <w:lang w:eastAsia="zh-CN"/>
        </w:rPr>
        <w:t>科、肾内科、妇科等专科咨询及放射读片</w:t>
      </w:r>
      <w:r>
        <w:rPr>
          <w:rFonts w:hint="eastAsia" w:ascii="Times New Roman" w:hAnsi="Times New Roman" w:eastAsia="宋体" w:cs="Times New Roman"/>
          <w:sz w:val="28"/>
          <w:szCs w:val="28"/>
        </w:rPr>
        <w:t>服务。</w:t>
      </w:r>
    </w:p>
    <w:p w14:paraId="7AFBAA8F">
      <w:pPr>
        <w:keepNext w:val="0"/>
        <w:keepLines w:val="0"/>
        <w:pageBreakBefore w:val="0"/>
        <w:widowControl w:val="0"/>
        <w:kinsoku/>
        <w:wordWrap/>
        <w:overflowPunct w:val="0"/>
        <w:topLinePunct w:val="0"/>
        <w:autoSpaceDE/>
        <w:autoSpaceDN/>
        <w:bidi w:val="0"/>
        <w:adjustRightInd/>
        <w:spacing w:line="360" w:lineRule="auto"/>
        <w:ind w:firstLine="562" w:firstLineChars="200"/>
        <w:textAlignment w:val="auto"/>
        <w:rPr>
          <w:rFonts w:hint="default" w:ascii="Times New Roman" w:hAnsi="Times New Roman" w:eastAsia="宋体" w:cs="Times New Roman"/>
          <w:b w:val="0"/>
          <w:bCs w:val="0"/>
          <w:sz w:val="28"/>
          <w:szCs w:val="28"/>
          <w:lang w:val="en-US" w:eastAsia="zh-CN"/>
        </w:rPr>
      </w:pPr>
      <w:r>
        <w:rPr>
          <w:rFonts w:hint="eastAsia" w:ascii="Times New Roman" w:hAnsi="Times New Roman" w:eastAsia="宋体" w:cs="Times New Roman"/>
          <w:b/>
          <w:bCs/>
          <w:sz w:val="28"/>
          <w:szCs w:val="28"/>
          <w:lang w:val="en-US" w:eastAsia="zh-CN"/>
        </w:rPr>
        <w:t>体重管理门诊：</w:t>
      </w:r>
      <w:r>
        <w:rPr>
          <w:rFonts w:hint="eastAsia" w:ascii="Times New Roman" w:hAnsi="Times New Roman" w:eastAsia="宋体" w:cs="Times New Roman"/>
          <w:b w:val="0"/>
          <w:bCs w:val="0"/>
          <w:sz w:val="28"/>
          <w:szCs w:val="28"/>
          <w:lang w:val="en-US" w:eastAsia="zh-CN"/>
        </w:rPr>
        <w:t>依托多学科协作团队，由健康管理中心牵头，联合内分泌、营养、康复医学等专科，实现有效的体重控制与全面的健康提升。</w:t>
      </w:r>
    </w:p>
    <w:p w14:paraId="62508F32">
      <w:pPr>
        <w:keepNext w:val="0"/>
        <w:keepLines w:val="0"/>
        <w:pageBreakBefore w:val="0"/>
        <w:widowControl w:val="0"/>
        <w:kinsoku/>
        <w:wordWrap/>
        <w:overflowPunct w:val="0"/>
        <w:topLinePunct w:val="0"/>
        <w:autoSpaceDE/>
        <w:autoSpaceDN/>
        <w:bidi w:val="0"/>
        <w:adjustRightInd/>
        <w:spacing w:line="360" w:lineRule="auto"/>
        <w:ind w:firstLine="420" w:firstLineChars="0"/>
        <w:jc w:val="both"/>
        <w:textAlignment w:val="auto"/>
        <w:rPr>
          <w:rFonts w:hint="default" w:ascii="Times New Roman" w:hAnsi="Times New Roman" w:eastAsia="宋体" w:cs="Times New Roman"/>
          <w:sz w:val="28"/>
          <w:szCs w:val="28"/>
          <w:lang w:val="en-US" w:eastAsia="zh-CN"/>
        </w:rPr>
        <w:sectPr>
          <w:pgSz w:w="11906" w:h="16838"/>
          <w:pgMar w:top="1440" w:right="1800" w:bottom="1440" w:left="1800" w:header="851" w:footer="992" w:gutter="0"/>
          <w:cols w:space="720" w:num="1"/>
          <w:docGrid w:type="lines" w:linePitch="312" w:charSpace="0"/>
        </w:sectPr>
      </w:pPr>
      <w:r>
        <w:rPr>
          <w:rFonts w:hint="eastAsia" w:ascii="Times New Roman" w:hAnsi="Times New Roman" w:eastAsia="宋体" w:cs="Times New Roman"/>
          <w:sz w:val="28"/>
          <w:szCs w:val="28"/>
          <w:lang w:val="en-US" w:eastAsia="zh-CN"/>
        </w:rPr>
        <w:t xml:space="preserve">  </w:t>
      </w:r>
    </w:p>
    <w:p w14:paraId="477D26F0">
      <w:pPr>
        <w:keepNext w:val="0"/>
        <w:keepLines w:val="0"/>
        <w:pageBreakBefore w:val="0"/>
        <w:widowControl w:val="0"/>
        <w:kinsoku/>
        <w:wordWrap/>
        <w:overflowPunct w:val="0"/>
        <w:topLinePunct w:val="0"/>
        <w:autoSpaceDE/>
        <w:autoSpaceDN/>
        <w:bidi w:val="0"/>
        <w:adjustRightInd/>
        <w:spacing w:line="360" w:lineRule="auto"/>
        <w:jc w:val="center"/>
        <w:textAlignment w:val="auto"/>
        <w:rPr>
          <w:rFonts w:hint="eastAsia" w:ascii="Calibri" w:hAnsi="Calibri" w:eastAsia="宋体" w:cs="Times New Roman"/>
          <w:b/>
          <w:bCs/>
          <w:sz w:val="28"/>
          <w:szCs w:val="28"/>
          <w:lang w:eastAsia="zh-CN"/>
        </w:rPr>
      </w:pPr>
      <w:r>
        <w:rPr>
          <w:rFonts w:hint="eastAsia" w:ascii="Calibri" w:hAnsi="Calibri" w:eastAsia="宋体" w:cs="Times New Roman"/>
          <w:b/>
          <w:bCs/>
          <w:sz w:val="28"/>
          <w:szCs w:val="28"/>
          <w:lang w:eastAsia="zh-CN"/>
        </w:rPr>
        <w:drawing>
          <wp:inline distT="0" distB="0" distL="114300" distR="114300">
            <wp:extent cx="5073650" cy="3589655"/>
            <wp:effectExtent l="0" t="0" r="12700" b="10795"/>
            <wp:docPr id="15" name="图片 42" descr="专家介绍---(4)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2" descr="专家介绍---(4)_09"/>
                    <pic:cNvPicPr>
                      <a:picLocks noChangeAspect="1"/>
                    </pic:cNvPicPr>
                  </pic:nvPicPr>
                  <pic:blipFill>
                    <a:blip r:embed="rId19"/>
                    <a:stretch>
                      <a:fillRect/>
                    </a:stretch>
                  </pic:blipFill>
                  <pic:spPr>
                    <a:xfrm>
                      <a:off x="0" y="0"/>
                      <a:ext cx="5073650" cy="3589655"/>
                    </a:xfrm>
                    <a:prstGeom prst="rect">
                      <a:avLst/>
                    </a:prstGeom>
                    <a:noFill/>
                    <a:ln>
                      <a:noFill/>
                    </a:ln>
                  </pic:spPr>
                </pic:pic>
              </a:graphicData>
            </a:graphic>
          </wp:inline>
        </w:drawing>
      </w:r>
      <w:r>
        <w:rPr>
          <w:rFonts w:hint="eastAsia" w:ascii="Calibri" w:hAnsi="Calibri" w:eastAsia="宋体" w:cs="Times New Roman"/>
          <w:b/>
          <w:bCs/>
          <w:sz w:val="28"/>
          <w:szCs w:val="28"/>
          <w:lang w:eastAsia="zh-CN"/>
        </w:rPr>
        <w:drawing>
          <wp:inline distT="0" distB="0" distL="114300" distR="114300">
            <wp:extent cx="5217795" cy="3691890"/>
            <wp:effectExtent l="0" t="0" r="1905" b="3810"/>
            <wp:docPr id="16" name="图片 43" descr="专家介绍---(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3" descr="专家介绍---(4)_10"/>
                    <pic:cNvPicPr>
                      <a:picLocks noChangeAspect="1"/>
                    </pic:cNvPicPr>
                  </pic:nvPicPr>
                  <pic:blipFill>
                    <a:blip r:embed="rId20"/>
                    <a:stretch>
                      <a:fillRect/>
                    </a:stretch>
                  </pic:blipFill>
                  <pic:spPr>
                    <a:xfrm>
                      <a:off x="0" y="0"/>
                      <a:ext cx="5217795" cy="3691890"/>
                    </a:xfrm>
                    <a:prstGeom prst="rect">
                      <a:avLst/>
                    </a:prstGeom>
                    <a:noFill/>
                    <a:ln>
                      <a:noFill/>
                    </a:ln>
                  </pic:spPr>
                </pic:pic>
              </a:graphicData>
            </a:graphic>
          </wp:inline>
        </w:drawing>
      </w:r>
      <w:r>
        <w:rPr>
          <w:rFonts w:hint="eastAsia" w:ascii="Calibri" w:hAnsi="Calibri" w:eastAsia="宋体" w:cs="Times New Roman"/>
          <w:b/>
          <w:bCs/>
          <w:sz w:val="28"/>
          <w:szCs w:val="28"/>
          <w:lang w:eastAsia="zh-CN"/>
        </w:rPr>
        <w:drawing>
          <wp:inline distT="0" distB="0" distL="114300" distR="114300">
            <wp:extent cx="5122545" cy="3823970"/>
            <wp:effectExtent l="0" t="0" r="1905" b="5080"/>
            <wp:docPr id="17" name="图片 44" descr="c94d4282b175a65c1df22a60239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4" descr="c94d4282b175a65c1df22a602398071"/>
                    <pic:cNvPicPr>
                      <a:picLocks noChangeAspect="1"/>
                    </pic:cNvPicPr>
                  </pic:nvPicPr>
                  <pic:blipFill>
                    <a:blip r:embed="rId21"/>
                    <a:stretch>
                      <a:fillRect/>
                    </a:stretch>
                  </pic:blipFill>
                  <pic:spPr>
                    <a:xfrm>
                      <a:off x="0" y="0"/>
                      <a:ext cx="5122545" cy="3823970"/>
                    </a:xfrm>
                    <a:prstGeom prst="rect">
                      <a:avLst/>
                    </a:prstGeom>
                    <a:noFill/>
                    <a:ln>
                      <a:noFill/>
                    </a:ln>
                  </pic:spPr>
                </pic:pic>
              </a:graphicData>
            </a:graphic>
          </wp:inline>
        </w:drawing>
      </w:r>
    </w:p>
    <w:p w14:paraId="0AE778C2">
      <w:pPr>
        <w:keepNext w:val="0"/>
        <w:keepLines w:val="0"/>
        <w:pageBreakBefore w:val="0"/>
        <w:widowControl w:val="0"/>
        <w:kinsoku/>
        <w:wordWrap/>
        <w:overflowPunct w:val="0"/>
        <w:topLinePunct w:val="0"/>
        <w:autoSpaceDE/>
        <w:autoSpaceDN/>
        <w:bidi w:val="0"/>
        <w:adjustRightInd/>
        <w:spacing w:line="360" w:lineRule="auto"/>
        <w:textAlignment w:val="auto"/>
        <w:rPr>
          <w:rFonts w:hint="default" w:ascii="Calibri" w:hAnsi="Calibri" w:eastAsia="宋体" w:cs="Times New Roman"/>
          <w:b/>
          <w:bCs/>
          <w:sz w:val="28"/>
          <w:szCs w:val="28"/>
          <w:lang w:val="en-US"/>
        </w:rPr>
      </w:pPr>
      <w:r>
        <w:rPr>
          <w:rFonts w:hint="eastAsia" w:ascii="Calibri" w:hAnsi="Calibri" w:eastAsia="宋体" w:cs="Times New Roman"/>
          <w:b/>
          <w:bCs/>
          <w:sz w:val="28"/>
          <w:szCs w:val="28"/>
          <w:lang w:eastAsia="zh-CN"/>
        </w:rPr>
        <w:t>以人为本理念，优化服务流程体验</w:t>
      </w:r>
    </w:p>
    <w:p w14:paraId="562B2BB2">
      <w:pPr>
        <w:keepNext w:val="0"/>
        <w:keepLines w:val="0"/>
        <w:pageBreakBefore w:val="0"/>
        <w:widowControl w:val="0"/>
        <w:kinsoku/>
        <w:wordWrap/>
        <w:overflowPunct w:val="0"/>
        <w:topLinePunct w:val="0"/>
        <w:autoSpaceDE/>
        <w:autoSpaceDN/>
        <w:bidi w:val="0"/>
        <w:adjustRightInd/>
        <w:spacing w:line="360" w:lineRule="auto"/>
        <w:ind w:firstLine="420" w:firstLineChars="0"/>
        <w:jc w:val="left"/>
        <w:textAlignment w:val="auto"/>
        <w:rPr>
          <w:rFonts w:hint="eastAsia" w:ascii="Calibri" w:hAnsi="Calibri" w:eastAsia="宋体" w:cs="Times New Roman"/>
          <w:bCs/>
          <w:kern w:val="0"/>
          <w:sz w:val="28"/>
          <w:szCs w:val="28"/>
        </w:rPr>
      </w:pPr>
      <w:r>
        <w:rPr>
          <w:rFonts w:hint="eastAsia" w:ascii="Times New Roman" w:hAnsi="Times New Roman" w:eastAsia="宋体" w:cs="Times New Roman"/>
          <w:sz w:val="28"/>
          <w:szCs w:val="28"/>
          <w:lang w:eastAsia="zh-CN"/>
        </w:rPr>
        <w:t>中心秉承“以人为本、客户至上”的服务理念，与南京饭店合作提供自助式营养早餐。</w:t>
      </w:r>
    </w:p>
    <w:p w14:paraId="6F8F4803">
      <w:pPr>
        <w:keepNext w:val="0"/>
        <w:keepLines w:val="0"/>
        <w:pageBreakBefore w:val="0"/>
        <w:widowControl w:val="0"/>
        <w:kinsoku/>
        <w:wordWrap/>
        <w:overflowPunct w:val="0"/>
        <w:topLinePunct w:val="0"/>
        <w:autoSpaceDE/>
        <w:autoSpaceDN/>
        <w:bidi w:val="0"/>
        <w:adjustRightInd/>
        <w:spacing w:line="360" w:lineRule="auto"/>
        <w:ind w:firstLine="420" w:firstLineChars="0"/>
        <w:jc w:val="left"/>
        <w:textAlignment w:val="auto"/>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开展老龄专场体检等敬老助老特色服务，采取分时段预约体检，智能导检系统与现场导检人员动态结合。不断优化体检的各个环节，改善服务细节，使体检者安心、舒心、放心。</w:t>
      </w:r>
    </w:p>
    <w:p w14:paraId="1D5DD4DD">
      <w:pPr>
        <w:keepNext w:val="0"/>
        <w:keepLines w:val="0"/>
        <w:pageBreakBefore w:val="0"/>
        <w:widowControl w:val="0"/>
        <w:kinsoku/>
        <w:wordWrap/>
        <w:overflowPunct w:val="0"/>
        <w:topLinePunct w:val="0"/>
        <w:autoSpaceDE/>
        <w:autoSpaceDN/>
        <w:bidi w:val="0"/>
        <w:adjustRightInd/>
        <w:spacing w:line="360" w:lineRule="auto"/>
        <w:ind w:firstLine="420" w:firstLineChars="0"/>
        <w:jc w:val="left"/>
        <w:textAlignment w:val="auto"/>
        <w:rPr>
          <w:rFonts w:hint="eastAsia" w:ascii="Times New Roman" w:hAnsi="Times New Roman" w:eastAsia="宋体" w:cs="Times New Roman"/>
          <w:b w:val="0"/>
          <w:bCs w:val="0"/>
          <w:sz w:val="28"/>
          <w:szCs w:val="36"/>
          <w:lang w:val="en-US" w:eastAsia="zh-CN"/>
        </w:rPr>
      </w:pPr>
      <w:r>
        <w:rPr>
          <w:rFonts w:hint="eastAsia" w:ascii="Times New Roman" w:hAnsi="Times New Roman" w:eastAsia="宋体" w:cs="Times New Roman"/>
          <w:b w:val="0"/>
          <w:bCs w:val="0"/>
          <w:sz w:val="28"/>
          <w:szCs w:val="36"/>
          <w:lang w:val="en-US" w:eastAsia="zh-CN"/>
        </w:rPr>
        <w:t>中心针对老年人群开展的健康管理服务获评江苏省卫健委颁发的2022年度江苏省老年健康服务一等奖。</w:t>
      </w:r>
    </w:p>
    <w:p w14:paraId="13F96972">
      <w:pPr>
        <w:keepNext w:val="0"/>
        <w:keepLines w:val="0"/>
        <w:pageBreakBefore w:val="0"/>
        <w:widowControl w:val="0"/>
        <w:kinsoku/>
        <w:wordWrap/>
        <w:overflowPunct w:val="0"/>
        <w:topLinePunct w:val="0"/>
        <w:autoSpaceDE/>
        <w:autoSpaceDN/>
        <w:bidi w:val="0"/>
        <w:adjustRightInd/>
        <w:spacing w:line="360" w:lineRule="auto"/>
        <w:ind w:firstLine="420" w:firstLineChars="0"/>
        <w:jc w:val="center"/>
        <w:textAlignment w:val="auto"/>
        <w:rPr>
          <w:rFonts w:hint="eastAsia" w:ascii="Times New Roman" w:hAnsi="Times New Roman" w:eastAsia="宋体" w:cs="Times New Roman"/>
          <w:sz w:val="28"/>
          <w:szCs w:val="28"/>
          <w:lang w:eastAsia="zh-CN"/>
        </w:rPr>
      </w:pPr>
      <w:r>
        <w:rPr>
          <w:rFonts w:hint="eastAsia" w:ascii="Calibri" w:hAnsi="Calibri" w:eastAsia="宋体" w:cs="Times New Roman"/>
          <w:bCs/>
          <w:kern w:val="0"/>
          <w:sz w:val="28"/>
          <w:szCs w:val="28"/>
        </w:rPr>
        <w:drawing>
          <wp:inline distT="0" distB="0" distL="114300" distR="114300">
            <wp:extent cx="4046855" cy="4046855"/>
            <wp:effectExtent l="0" t="0" r="10795" b="10795"/>
            <wp:docPr id="18" name="图片 45" descr="早餐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5" descr="早餐3"/>
                    <pic:cNvPicPr>
                      <a:picLocks noChangeAspect="1"/>
                    </pic:cNvPicPr>
                  </pic:nvPicPr>
                  <pic:blipFill>
                    <a:blip r:embed="rId22"/>
                    <a:stretch>
                      <a:fillRect/>
                    </a:stretch>
                  </pic:blipFill>
                  <pic:spPr>
                    <a:xfrm>
                      <a:off x="0" y="0"/>
                      <a:ext cx="4046855" cy="4046855"/>
                    </a:xfrm>
                    <a:prstGeom prst="rect">
                      <a:avLst/>
                    </a:prstGeom>
                    <a:noFill/>
                    <a:ln>
                      <a:noFill/>
                    </a:ln>
                  </pic:spPr>
                </pic:pic>
              </a:graphicData>
            </a:graphic>
          </wp:inline>
        </w:drawing>
      </w:r>
      <w:r>
        <w:rPr>
          <w:rFonts w:hint="eastAsia" w:ascii="Times New Roman" w:hAnsi="Times New Roman" w:eastAsia="宋体" w:cs="Times New Roman"/>
          <w:b w:val="0"/>
          <w:bCs w:val="0"/>
          <w:sz w:val="28"/>
          <w:szCs w:val="36"/>
          <w:lang w:val="en-US" w:eastAsia="zh-CN"/>
        </w:rPr>
        <w:t xml:space="preserve">      </w:t>
      </w:r>
      <w:r>
        <w:rPr>
          <w:rFonts w:ascii="Times New Roman" w:hAnsi="Times New Roman" w:eastAsia="宋体" w:cs="Times New Roman"/>
          <w:szCs w:val="22"/>
        </w:rPr>
        <w:drawing>
          <wp:inline distT="0" distB="0" distL="114300" distR="114300">
            <wp:extent cx="4847590" cy="3274695"/>
            <wp:effectExtent l="15875" t="15875" r="70485" b="81280"/>
            <wp:docPr id="2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52060" cy="340741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C5C49C4">
      <w:pPr>
        <w:keepNext w:val="0"/>
        <w:keepLines w:val="0"/>
        <w:pageBreakBefore w:val="0"/>
        <w:widowControl w:val="0"/>
        <w:kinsoku/>
        <w:wordWrap/>
        <w:overflowPunct w:val="0"/>
        <w:topLinePunct w:val="0"/>
        <w:autoSpaceDE/>
        <w:autoSpaceDN/>
        <w:bidi w:val="0"/>
        <w:adjustRightInd/>
        <w:spacing w:line="360" w:lineRule="auto"/>
        <w:ind w:firstLine="420" w:firstLineChars="0"/>
        <w:jc w:val="center"/>
        <w:textAlignment w:val="auto"/>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3879215" cy="3113405"/>
            <wp:effectExtent l="0" t="0" r="6985" b="10795"/>
            <wp:docPr id="19" name="图片 47" descr="cadceb7f8f5fb387de0a47495b2f8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7" descr="cadceb7f8f5fb387de0a47495b2f84f"/>
                    <pic:cNvPicPr>
                      <a:picLocks noChangeAspect="1"/>
                    </pic:cNvPicPr>
                  </pic:nvPicPr>
                  <pic:blipFill>
                    <a:blip r:embed="rId24"/>
                    <a:stretch>
                      <a:fillRect/>
                    </a:stretch>
                  </pic:blipFill>
                  <pic:spPr>
                    <a:xfrm>
                      <a:off x="0" y="0"/>
                      <a:ext cx="3879215" cy="3113405"/>
                    </a:xfrm>
                    <a:prstGeom prst="rect">
                      <a:avLst/>
                    </a:prstGeom>
                    <a:noFill/>
                    <a:ln>
                      <a:noFill/>
                    </a:ln>
                  </pic:spPr>
                </pic:pic>
              </a:graphicData>
            </a:graphic>
          </wp:inline>
        </w:drawing>
      </w:r>
    </w:p>
    <w:p w14:paraId="6519BF55">
      <w:pPr>
        <w:keepNext w:val="0"/>
        <w:keepLines w:val="0"/>
        <w:pageBreakBefore w:val="0"/>
        <w:widowControl w:val="0"/>
        <w:kinsoku/>
        <w:wordWrap/>
        <w:overflowPunct w:val="0"/>
        <w:topLinePunct w:val="0"/>
        <w:autoSpaceDE/>
        <w:autoSpaceDN/>
        <w:bidi w:val="0"/>
        <w:adjustRightInd/>
        <w:spacing w:line="360" w:lineRule="auto"/>
        <w:ind w:firstLine="560" w:firstLineChars="200"/>
        <w:textAlignment w:val="auto"/>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val="en-US" w:eastAsia="zh-CN"/>
        </w:rPr>
        <w:t>为了让体检客户体验到更优质的体检服务，健康管理中心不断狠抓结构质量、过程质量、结果质量，并以结果质量为导向，开展覆盖检前、检中、检后全过程的质量控制，获得体检客户的一致好评。</w:t>
      </w:r>
    </w:p>
    <w:p w14:paraId="6E887F03">
      <w:pPr>
        <w:spacing w:line="500" w:lineRule="exact"/>
        <w:rPr>
          <w:rFonts w:hint="eastAsia" w:ascii="宋体" w:hAnsi="宋体"/>
          <w:sz w:val="30"/>
          <w:szCs w:val="30"/>
        </w:rPr>
      </w:pPr>
      <w:r>
        <w:rPr>
          <w:rFonts w:hint="eastAsia" w:ascii="Times New Roman" w:hAnsi="Times New Roman" w:eastAsia="宋体" w:cs="Times New Roman"/>
          <w:kern w:val="2"/>
          <w:sz w:val="21"/>
          <w:szCs w:val="22"/>
          <w:lang w:val="en-US" w:eastAsia="zh-CN" w:bidi="ar-SA"/>
        </w:rPr>
        <w:drawing>
          <wp:anchor distT="0" distB="0" distL="114300" distR="114300" simplePos="0" relativeHeight="251668480" behindDoc="0" locked="0" layoutInCell="1" allowOverlap="1">
            <wp:simplePos x="0" y="0"/>
            <wp:positionH relativeFrom="column">
              <wp:posOffset>901065</wp:posOffset>
            </wp:positionH>
            <wp:positionV relativeFrom="paragraph">
              <wp:posOffset>168275</wp:posOffset>
            </wp:positionV>
            <wp:extent cx="4155440" cy="4155440"/>
            <wp:effectExtent l="0" t="0" r="16510" b="16510"/>
            <wp:wrapSquare wrapText="bothSides"/>
            <wp:docPr id="11" name="图片 43" descr="5920db65da3cf8e3dcf48343528ca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3" descr="5920db65da3cf8e3dcf48343528ca9d"/>
                    <pic:cNvPicPr>
                      <a:picLocks noChangeAspect="1"/>
                    </pic:cNvPicPr>
                  </pic:nvPicPr>
                  <pic:blipFill>
                    <a:blip r:embed="rId25"/>
                    <a:stretch>
                      <a:fillRect/>
                    </a:stretch>
                  </pic:blipFill>
                  <pic:spPr>
                    <a:xfrm>
                      <a:off x="0" y="0"/>
                      <a:ext cx="4155440" cy="4155440"/>
                    </a:xfrm>
                    <a:prstGeom prst="rect">
                      <a:avLst/>
                    </a:prstGeom>
                    <a:noFill/>
                    <a:ln>
                      <a:noFill/>
                    </a:ln>
                  </pic:spPr>
                </pic:pic>
              </a:graphicData>
            </a:graphic>
          </wp:anchor>
        </w:drawing>
      </w:r>
      <w:r>
        <w:rPr>
          <w:rFonts w:ascii="宋体" w:hAnsi="宋体" w:cs="黑体"/>
          <w:sz w:val="30"/>
          <w:szCs w:val="30"/>
        </w:rPr>
        <w:br w:type="page"/>
      </w:r>
      <w:r>
        <w:rPr>
          <w:rFonts w:hint="eastAsia" w:ascii="宋体" w:hAnsi="宋体" w:cs="黑体"/>
          <w:b/>
          <w:bCs/>
          <w:sz w:val="30"/>
          <w:szCs w:val="30"/>
        </w:rPr>
        <w:t>三、江苏省省级机关医院健康管理中心体检须知</w:t>
      </w:r>
    </w:p>
    <w:p w14:paraId="1B6A0134">
      <w:pPr>
        <w:keepNext w:val="0"/>
        <w:keepLines w:val="0"/>
        <w:pageBreakBefore w:val="0"/>
        <w:widowControl w:val="0"/>
        <w:numPr>
          <w:ilvl w:val="0"/>
          <w:numId w:val="0"/>
        </w:numPr>
        <w:kinsoku/>
        <w:wordWrap/>
        <w:overflowPunct w:val="0"/>
        <w:topLinePunct w:val="0"/>
        <w:autoSpaceDE/>
        <w:autoSpaceDN/>
        <w:bidi w:val="0"/>
        <w:adjustRightInd/>
        <w:spacing w:line="360" w:lineRule="auto"/>
        <w:textAlignment w:val="auto"/>
        <w:rPr>
          <w:rFonts w:hint="eastAsia" w:ascii="Times New Roman" w:hAnsi="Times New Roman" w:eastAsia="宋体" w:cs="Times New Roman"/>
          <w:b w:val="0"/>
          <w:bCs w:val="0"/>
          <w:sz w:val="28"/>
          <w:szCs w:val="28"/>
          <w:highlight w:val="none"/>
        </w:rPr>
      </w:pPr>
      <w:r>
        <w:rPr>
          <w:rFonts w:hint="eastAsia" w:ascii="Times New Roman" w:hAnsi="Times New Roman" w:eastAsia="宋体" w:cs="Times New Roman"/>
          <w:b w:val="0"/>
          <w:bCs w:val="0"/>
          <w:sz w:val="28"/>
          <w:szCs w:val="28"/>
          <w:highlight w:val="none"/>
        </w:rPr>
        <w:t>尊敬的河海大学教职工：</w:t>
      </w:r>
    </w:p>
    <w:p w14:paraId="0AE67443">
      <w:pPr>
        <w:keepNext w:val="0"/>
        <w:keepLines w:val="0"/>
        <w:pageBreakBefore w:val="0"/>
        <w:widowControl w:val="0"/>
        <w:numPr>
          <w:ilvl w:val="0"/>
          <w:numId w:val="0"/>
        </w:numPr>
        <w:kinsoku/>
        <w:wordWrap/>
        <w:overflowPunct w:val="0"/>
        <w:topLinePunct w:val="0"/>
        <w:autoSpaceDE/>
        <w:autoSpaceDN/>
        <w:bidi w:val="0"/>
        <w:adjustRightInd/>
        <w:spacing w:line="360" w:lineRule="auto"/>
        <w:ind w:firstLine="560" w:firstLineChars="200"/>
        <w:textAlignment w:val="auto"/>
        <w:rPr>
          <w:rFonts w:hint="eastAsia" w:ascii="Times New Roman" w:hAnsi="Times New Roman" w:eastAsia="宋体" w:cs="Times New Roman"/>
          <w:b w:val="0"/>
          <w:bCs w:val="0"/>
          <w:sz w:val="28"/>
          <w:szCs w:val="28"/>
          <w:highlight w:val="none"/>
        </w:rPr>
      </w:pPr>
      <w:r>
        <w:rPr>
          <w:rFonts w:hint="eastAsia" w:ascii="Times New Roman" w:hAnsi="Times New Roman" w:eastAsia="宋体" w:cs="Times New Roman"/>
          <w:b w:val="0"/>
          <w:bCs w:val="0"/>
          <w:sz w:val="28"/>
          <w:szCs w:val="28"/>
          <w:highlight w:val="none"/>
        </w:rPr>
        <w:t>您好！感谢您选择江苏省省级机关医院健康管理中心，我们将竭诚为您服务！为了提高体检服务质量和工作效率，创造快速便捷的体检流程，请您关注以下内容：</w:t>
      </w:r>
    </w:p>
    <w:p w14:paraId="3FFC4DD5">
      <w:pPr>
        <w:keepNext w:val="0"/>
        <w:keepLines w:val="0"/>
        <w:pageBreakBefore w:val="0"/>
        <w:widowControl w:val="0"/>
        <w:numPr>
          <w:ilvl w:val="0"/>
          <w:numId w:val="0"/>
        </w:numPr>
        <w:kinsoku/>
        <w:wordWrap/>
        <w:overflowPunct w:val="0"/>
        <w:topLinePunct w:val="0"/>
        <w:autoSpaceDE/>
        <w:autoSpaceDN/>
        <w:bidi w:val="0"/>
        <w:adjustRightInd/>
        <w:spacing w:line="360" w:lineRule="auto"/>
        <w:textAlignment w:val="auto"/>
        <w:rPr>
          <w:rFonts w:hint="eastAsia"/>
          <w:b w:val="0"/>
          <w:bCs w:val="0"/>
          <w:sz w:val="28"/>
          <w:szCs w:val="28"/>
          <w:highlight w:val="none"/>
        </w:rPr>
      </w:pPr>
      <w:r>
        <w:rPr>
          <w:rFonts w:hint="default" w:ascii="宋体" w:hAnsi="宋体" w:eastAsia="宋体" w:cs="宋体"/>
          <w:b w:val="0"/>
          <w:bCs w:val="0"/>
          <w:kern w:val="2"/>
          <w:sz w:val="28"/>
          <w:szCs w:val="28"/>
          <w:lang w:val="en-US" w:eastAsia="zh-CN" w:bidi="ar-SA"/>
        </w:rPr>
        <w:t>1.</w:t>
      </w:r>
      <w:r>
        <w:rPr>
          <w:rFonts w:hint="eastAsia"/>
          <w:b w:val="0"/>
          <w:bCs w:val="0"/>
          <w:sz w:val="28"/>
          <w:szCs w:val="28"/>
          <w:highlight w:val="none"/>
        </w:rPr>
        <w:t>健康管理中心开设检前门诊</w:t>
      </w:r>
      <w:r>
        <w:rPr>
          <w:rFonts w:hint="eastAsia"/>
          <w:b w:val="0"/>
          <w:bCs w:val="0"/>
          <w:sz w:val="28"/>
          <w:szCs w:val="28"/>
          <w:highlight w:val="none"/>
          <w:lang w:eastAsia="zh-CN"/>
        </w:rPr>
        <w:t>，</w:t>
      </w:r>
      <w:r>
        <w:rPr>
          <w:rFonts w:hint="eastAsia"/>
          <w:b w:val="0"/>
          <w:bCs w:val="0"/>
          <w:sz w:val="28"/>
          <w:szCs w:val="28"/>
          <w:highlight w:val="none"/>
          <w:lang w:val="en-US" w:eastAsia="zh-CN"/>
        </w:rPr>
        <w:t>可</w:t>
      </w:r>
      <w:r>
        <w:rPr>
          <w:rFonts w:hint="eastAsia"/>
          <w:b w:val="0"/>
          <w:bCs w:val="0"/>
          <w:sz w:val="28"/>
          <w:szCs w:val="28"/>
          <w:highlight w:val="none"/>
        </w:rPr>
        <w:t>为您提供健康咨询，定制个性化“1+X”体检方案</w:t>
      </w:r>
      <w:r>
        <w:rPr>
          <w:rFonts w:hint="eastAsia"/>
          <w:b w:val="0"/>
          <w:bCs w:val="0"/>
          <w:sz w:val="28"/>
          <w:szCs w:val="28"/>
          <w:highlight w:val="none"/>
          <w:lang w:eastAsia="zh-CN"/>
        </w:rPr>
        <w:t>（</w:t>
      </w:r>
      <w:r>
        <w:rPr>
          <w:rFonts w:hint="eastAsia"/>
          <w:b w:val="0"/>
          <w:bCs w:val="0"/>
          <w:sz w:val="28"/>
          <w:szCs w:val="28"/>
          <w:highlight w:val="none"/>
          <w:lang w:val="en-US" w:eastAsia="zh-CN"/>
        </w:rPr>
        <w:t>学校所检套餐外的自选项目需自行缴费）</w:t>
      </w:r>
      <w:r>
        <w:rPr>
          <w:rFonts w:hint="eastAsia"/>
          <w:b w:val="0"/>
          <w:bCs w:val="0"/>
          <w:sz w:val="28"/>
          <w:szCs w:val="28"/>
          <w:highlight w:val="none"/>
        </w:rPr>
        <w:t>。</w:t>
      </w:r>
    </w:p>
    <w:p w14:paraId="4E85032F">
      <w:pPr>
        <w:keepNext w:val="0"/>
        <w:keepLines w:val="0"/>
        <w:pageBreakBefore w:val="0"/>
        <w:widowControl w:val="0"/>
        <w:numPr>
          <w:ilvl w:val="0"/>
          <w:numId w:val="0"/>
        </w:numPr>
        <w:kinsoku/>
        <w:wordWrap/>
        <w:overflowPunct w:val="0"/>
        <w:topLinePunct w:val="0"/>
        <w:autoSpaceDE/>
        <w:autoSpaceDN/>
        <w:bidi w:val="0"/>
        <w:adjustRightInd/>
        <w:spacing w:line="360" w:lineRule="auto"/>
        <w:textAlignment w:val="auto"/>
        <w:rPr>
          <w:b w:val="0"/>
          <w:bCs w:val="0"/>
          <w:sz w:val="28"/>
          <w:szCs w:val="28"/>
          <w:highlight w:val="none"/>
        </w:rPr>
      </w:pPr>
      <w:r>
        <w:rPr>
          <w:rFonts w:hint="default" w:ascii="宋体" w:hAnsi="宋体" w:eastAsia="宋体" w:cs="宋体"/>
          <w:b w:val="0"/>
          <w:bCs w:val="0"/>
          <w:kern w:val="2"/>
          <w:sz w:val="28"/>
          <w:szCs w:val="28"/>
          <w:lang w:val="en-US" w:eastAsia="zh-CN" w:bidi="ar-SA"/>
        </w:rPr>
        <w:t>2.</w:t>
      </w:r>
      <w:r>
        <w:rPr>
          <w:rFonts w:hint="eastAsia"/>
          <w:b w:val="0"/>
          <w:bCs w:val="0"/>
          <w:sz w:val="28"/>
          <w:szCs w:val="28"/>
          <w:highlight w:val="none"/>
        </w:rPr>
        <w:t>体检时请携带本人身份证，实名制体检。</w:t>
      </w:r>
    </w:p>
    <w:p w14:paraId="42666E84">
      <w:pPr>
        <w:keepNext w:val="0"/>
        <w:keepLines w:val="0"/>
        <w:pageBreakBefore w:val="0"/>
        <w:widowControl w:val="0"/>
        <w:numPr>
          <w:ilvl w:val="0"/>
          <w:numId w:val="0"/>
        </w:numPr>
        <w:kinsoku/>
        <w:wordWrap/>
        <w:overflowPunct w:val="0"/>
        <w:topLinePunct w:val="0"/>
        <w:autoSpaceDE/>
        <w:autoSpaceDN/>
        <w:bidi w:val="0"/>
        <w:adjustRightInd/>
        <w:textAlignment w:val="auto"/>
        <w:rPr>
          <w:rFonts w:ascii="宋体" w:hAnsi="宋体" w:cs="宋体"/>
          <w:b w:val="0"/>
          <w:bCs w:val="0"/>
          <w:sz w:val="28"/>
          <w:szCs w:val="28"/>
          <w:highlight w:val="none"/>
          <w:u w:val="single"/>
        </w:rPr>
      </w:pPr>
      <w:r>
        <w:rPr>
          <w:rFonts w:hint="default" w:ascii="宋体" w:hAnsi="宋体" w:eastAsia="宋体" w:cs="宋体"/>
          <w:b w:val="0"/>
          <w:bCs w:val="0"/>
          <w:kern w:val="2"/>
          <w:sz w:val="28"/>
          <w:szCs w:val="28"/>
          <w:lang w:val="en-US" w:eastAsia="zh-CN" w:bidi="ar-SA"/>
        </w:rPr>
        <w:t>3.</w:t>
      </w:r>
      <w:r>
        <w:rPr>
          <w:rFonts w:hint="eastAsia"/>
          <w:b w:val="0"/>
          <w:bCs w:val="0"/>
          <w:sz w:val="28"/>
          <w:szCs w:val="28"/>
          <w:highlight w:val="none"/>
          <w:u w:val="single"/>
        </w:rPr>
        <w:t>年老体弱或行动不便者（85岁以上老人），需请家属陪同体检。</w:t>
      </w:r>
    </w:p>
    <w:p w14:paraId="74C06F7B">
      <w:pPr>
        <w:keepNext w:val="0"/>
        <w:keepLines w:val="0"/>
        <w:pageBreakBefore w:val="0"/>
        <w:widowControl w:val="0"/>
        <w:numPr>
          <w:ilvl w:val="0"/>
          <w:numId w:val="0"/>
        </w:numPr>
        <w:kinsoku/>
        <w:wordWrap/>
        <w:overflowPunct w:val="0"/>
        <w:topLinePunct w:val="0"/>
        <w:autoSpaceDE/>
        <w:autoSpaceDN/>
        <w:bidi w:val="0"/>
        <w:adjustRightInd/>
        <w:textAlignment w:val="auto"/>
        <w:rPr>
          <w:rFonts w:ascii="宋体" w:hAnsi="宋体" w:cs="宋体"/>
          <w:b w:val="0"/>
          <w:bCs w:val="0"/>
          <w:sz w:val="28"/>
          <w:szCs w:val="28"/>
        </w:rPr>
      </w:pPr>
      <w:r>
        <w:rPr>
          <w:rFonts w:hint="default" w:ascii="宋体" w:hAnsi="宋体" w:eastAsia="宋体" w:cs="宋体"/>
          <w:b w:val="0"/>
          <w:bCs w:val="0"/>
          <w:kern w:val="2"/>
          <w:sz w:val="28"/>
          <w:szCs w:val="28"/>
          <w:lang w:val="en-US" w:eastAsia="zh-CN" w:bidi="ar-SA"/>
        </w:rPr>
        <w:t>4.</w:t>
      </w:r>
      <w:r>
        <w:rPr>
          <w:rFonts w:hint="eastAsia" w:ascii="宋体" w:hAnsi="宋体" w:cs="宋体"/>
          <w:b w:val="0"/>
          <w:bCs w:val="0"/>
          <w:sz w:val="28"/>
          <w:szCs w:val="28"/>
        </w:rPr>
        <w:t>体检当日请空腹（禁食、禁水）, 待空腹检查项目完成后方可饮食。高血压、心脏病、哮喘等慢性疾病患者，可以饮少量水服药，必要时随身携带药物。</w:t>
      </w:r>
    </w:p>
    <w:p w14:paraId="3E7B191D">
      <w:pPr>
        <w:keepNext w:val="0"/>
        <w:keepLines w:val="0"/>
        <w:pageBreakBefore w:val="0"/>
        <w:widowControl w:val="0"/>
        <w:numPr>
          <w:ilvl w:val="0"/>
          <w:numId w:val="0"/>
        </w:numPr>
        <w:kinsoku/>
        <w:wordWrap/>
        <w:overflowPunct w:val="0"/>
        <w:topLinePunct w:val="0"/>
        <w:autoSpaceDE/>
        <w:autoSpaceDN/>
        <w:bidi w:val="0"/>
        <w:adjustRightInd/>
        <w:textAlignment w:val="auto"/>
        <w:rPr>
          <w:rFonts w:ascii="宋体" w:hAnsi="宋体" w:cs="宋体"/>
          <w:b w:val="0"/>
          <w:bCs w:val="0"/>
          <w:sz w:val="28"/>
          <w:szCs w:val="28"/>
        </w:rPr>
      </w:pPr>
      <w:r>
        <w:rPr>
          <w:rFonts w:hint="default" w:ascii="宋体" w:hAnsi="宋体" w:eastAsia="宋体" w:cs="宋体"/>
          <w:b w:val="0"/>
          <w:bCs w:val="0"/>
          <w:kern w:val="2"/>
          <w:sz w:val="28"/>
          <w:szCs w:val="28"/>
          <w:lang w:val="en-US" w:eastAsia="zh-CN" w:bidi="ar-SA"/>
        </w:rPr>
        <w:t>5.</w:t>
      </w:r>
      <w:r>
        <w:rPr>
          <w:rFonts w:hint="eastAsia" w:ascii="宋体" w:hAnsi="宋体" w:cs="宋体"/>
          <w:b w:val="0"/>
          <w:bCs w:val="0"/>
          <w:sz w:val="28"/>
          <w:szCs w:val="28"/>
        </w:rPr>
        <w:t>检查前一天的晚餐应以清淡的食物为主；不做剧烈运动；不饮酒。</w:t>
      </w:r>
    </w:p>
    <w:p w14:paraId="29D097E6">
      <w:pPr>
        <w:keepNext w:val="0"/>
        <w:keepLines w:val="0"/>
        <w:pageBreakBefore w:val="0"/>
        <w:widowControl w:val="0"/>
        <w:numPr>
          <w:ilvl w:val="0"/>
          <w:numId w:val="0"/>
        </w:numPr>
        <w:kinsoku/>
        <w:wordWrap/>
        <w:overflowPunct w:val="0"/>
        <w:topLinePunct w:val="0"/>
        <w:autoSpaceDE/>
        <w:autoSpaceDN/>
        <w:bidi w:val="0"/>
        <w:adjustRightInd/>
        <w:textAlignment w:val="auto"/>
        <w:rPr>
          <w:rFonts w:ascii="宋体" w:hAnsi="宋体" w:cs="宋体"/>
          <w:b w:val="0"/>
          <w:bCs w:val="0"/>
          <w:sz w:val="28"/>
          <w:szCs w:val="28"/>
        </w:rPr>
      </w:pPr>
      <w:r>
        <w:rPr>
          <w:rFonts w:hint="default" w:ascii="宋体" w:hAnsi="宋体" w:eastAsia="宋体" w:cs="宋体"/>
          <w:b w:val="0"/>
          <w:bCs w:val="0"/>
          <w:kern w:val="2"/>
          <w:sz w:val="28"/>
          <w:szCs w:val="28"/>
          <w:lang w:val="en-US" w:eastAsia="zh-CN" w:bidi="ar-SA"/>
        </w:rPr>
        <w:t>6.</w:t>
      </w:r>
      <w:r>
        <w:rPr>
          <w:rFonts w:hint="eastAsia" w:ascii="宋体" w:hAnsi="宋体" w:cs="宋体"/>
          <w:b w:val="0"/>
          <w:bCs w:val="0"/>
          <w:sz w:val="28"/>
          <w:szCs w:val="28"/>
        </w:rPr>
        <w:t>体检当天着装宽松、方便穿脱；不穿戴金属纽扣、塑料亮片等饰物的衣服，不穿戴金属托的文胸；勿戴隐形眼镜。</w:t>
      </w:r>
    </w:p>
    <w:p w14:paraId="5A79F696">
      <w:pPr>
        <w:keepNext w:val="0"/>
        <w:keepLines w:val="0"/>
        <w:pageBreakBefore w:val="0"/>
        <w:widowControl w:val="0"/>
        <w:numPr>
          <w:ilvl w:val="0"/>
          <w:numId w:val="0"/>
        </w:numPr>
        <w:kinsoku/>
        <w:wordWrap/>
        <w:overflowPunct w:val="0"/>
        <w:topLinePunct w:val="0"/>
        <w:autoSpaceDE/>
        <w:autoSpaceDN/>
        <w:bidi w:val="0"/>
        <w:adjustRightInd/>
        <w:textAlignment w:val="auto"/>
        <w:rPr>
          <w:rFonts w:hint="eastAsia" w:ascii="宋体" w:hAnsi="宋体" w:eastAsia="宋体" w:cs="宋体"/>
          <w:b w:val="0"/>
          <w:bCs w:val="0"/>
          <w:sz w:val="28"/>
          <w:szCs w:val="28"/>
        </w:rPr>
      </w:pPr>
      <w:r>
        <w:rPr>
          <w:rFonts w:hint="default" w:ascii="宋体" w:hAnsi="宋体" w:eastAsia="宋体" w:cs="宋体"/>
          <w:b w:val="0"/>
          <w:bCs w:val="0"/>
          <w:kern w:val="2"/>
          <w:sz w:val="28"/>
          <w:szCs w:val="28"/>
          <w:lang w:val="en-US" w:eastAsia="zh-CN" w:bidi="ar-SA"/>
        </w:rPr>
        <w:t>7.</w:t>
      </w:r>
      <w:r>
        <w:rPr>
          <w:rFonts w:hint="eastAsia" w:ascii="宋体" w:hAnsi="宋体" w:eastAsia="宋体" w:cs="宋体"/>
          <w:b w:val="0"/>
          <w:bCs w:val="0"/>
          <w:sz w:val="28"/>
          <w:szCs w:val="28"/>
        </w:rPr>
        <w:t>男性体检注意事项：男科彩超检查（前列腺+膀胱）需膀胱充盈。</w:t>
      </w:r>
    </w:p>
    <w:p w14:paraId="055309D3">
      <w:pPr>
        <w:keepNext w:val="0"/>
        <w:keepLines w:val="0"/>
        <w:pageBreakBefore w:val="0"/>
        <w:widowControl w:val="0"/>
        <w:numPr>
          <w:ilvl w:val="0"/>
          <w:numId w:val="0"/>
        </w:numPr>
        <w:kinsoku/>
        <w:wordWrap/>
        <w:overflowPunct w:val="0"/>
        <w:topLinePunct w:val="0"/>
        <w:autoSpaceDE/>
        <w:autoSpaceDN/>
        <w:bidi w:val="0"/>
        <w:adjustRightInd/>
        <w:textAlignment w:val="auto"/>
        <w:rPr>
          <w:rFonts w:hint="eastAsia" w:ascii="Calibri" w:hAnsi="Calibri"/>
          <w:b w:val="0"/>
          <w:bCs w:val="0"/>
          <w:kern w:val="0"/>
          <w:sz w:val="28"/>
          <w:szCs w:val="28"/>
        </w:rPr>
      </w:pPr>
      <w:r>
        <w:rPr>
          <w:rFonts w:hint="default" w:ascii="宋体" w:hAnsi="宋体" w:eastAsia="宋体" w:cs="宋体"/>
          <w:b w:val="0"/>
          <w:bCs w:val="0"/>
          <w:kern w:val="0"/>
          <w:sz w:val="28"/>
          <w:szCs w:val="28"/>
          <w:lang w:val="en-US" w:eastAsia="zh-CN" w:bidi="ar-SA"/>
        </w:rPr>
        <w:t>8.</w:t>
      </w:r>
      <w:r>
        <w:rPr>
          <w:rFonts w:hint="eastAsia" w:ascii="宋体" w:hAnsi="宋体" w:eastAsia="宋体" w:cs="宋体"/>
          <w:b w:val="0"/>
          <w:bCs w:val="0"/>
          <w:sz w:val="28"/>
          <w:szCs w:val="28"/>
        </w:rPr>
        <w:t>女性体检注意事项：请避开经期；妇科检查、经阴道超声检查适用于已婚者，未婚者不行此两项检查；怀孕及准备怀孕者不能进行放射性检查；妇科彩超检查（子宫+附件）需膀胱充盈。</w:t>
      </w:r>
    </w:p>
    <w:p w14:paraId="1E7E42CB">
      <w:pPr>
        <w:keepNext w:val="0"/>
        <w:keepLines w:val="0"/>
        <w:pageBreakBefore w:val="0"/>
        <w:widowControl w:val="0"/>
        <w:numPr>
          <w:ilvl w:val="0"/>
          <w:numId w:val="0"/>
        </w:numPr>
        <w:kinsoku/>
        <w:wordWrap/>
        <w:overflowPunct w:val="0"/>
        <w:topLinePunct w:val="0"/>
        <w:autoSpaceDE/>
        <w:autoSpaceDN/>
        <w:bidi w:val="0"/>
        <w:adjustRightInd/>
        <w:textAlignment w:val="auto"/>
        <w:rPr>
          <w:rFonts w:hint="eastAsia" w:ascii="宋体" w:hAnsi="宋体" w:cs="宋体"/>
          <w:sz w:val="28"/>
          <w:szCs w:val="28"/>
        </w:rPr>
      </w:pPr>
      <w:r>
        <w:rPr>
          <w:rFonts w:hint="default" w:ascii="宋体" w:hAnsi="宋体" w:eastAsia="宋体" w:cs="宋体"/>
          <w:kern w:val="2"/>
          <w:sz w:val="28"/>
          <w:szCs w:val="28"/>
          <w:lang w:val="en-US" w:eastAsia="zh-CN" w:bidi="ar-SA"/>
        </w:rPr>
        <w:t>9.</w:t>
      </w:r>
      <w:r>
        <w:rPr>
          <w:rFonts w:hint="eastAsia" w:ascii="宋体" w:hAnsi="宋体" w:eastAsia="宋体" w:cs="宋体"/>
          <w:b w:val="0"/>
          <w:bCs w:val="0"/>
          <w:sz w:val="28"/>
          <w:szCs w:val="28"/>
        </w:rPr>
        <w:t>中心采用全流程导诊系统，您所有的体检项目均由系统分配；体检当日请听从工作人员安排，在指导下于自助打印机上完成体检指引单打印，按导诊流程进行体</w:t>
      </w:r>
      <w:r>
        <w:rPr>
          <w:rFonts w:hint="eastAsia" w:ascii="宋体" w:hAnsi="宋体" w:cs="宋体"/>
          <w:b w:val="0"/>
          <w:bCs w:val="0"/>
          <w:sz w:val="28"/>
          <w:szCs w:val="28"/>
        </w:rPr>
        <w:t>检。体检结束请将指引单交至一楼中心服务台，并留下您的电话号码；体检报</w:t>
      </w:r>
      <w:r>
        <w:rPr>
          <w:rFonts w:hint="eastAsia" w:ascii="宋体" w:hAnsi="宋体" w:cs="宋体"/>
          <w:sz w:val="28"/>
          <w:szCs w:val="28"/>
        </w:rPr>
        <w:t>告由单位联系人统一领取，约为15个工作日。报告组电话：</w:t>
      </w:r>
      <w:r>
        <w:rPr>
          <w:rFonts w:hint="eastAsia" w:ascii="宋体" w:hAnsi="宋体" w:cs="宋体"/>
          <w:sz w:val="28"/>
          <w:szCs w:val="28"/>
          <w:lang w:val="en-US" w:eastAsia="zh-CN"/>
        </w:rPr>
        <w:t>025-</w:t>
      </w:r>
      <w:r>
        <w:rPr>
          <w:rFonts w:hint="eastAsia" w:ascii="宋体" w:hAnsi="宋体" w:cs="宋体"/>
          <w:sz w:val="28"/>
          <w:szCs w:val="28"/>
        </w:rPr>
        <w:t>89699016。</w:t>
      </w:r>
    </w:p>
    <w:p w14:paraId="77122EC7">
      <w:pPr>
        <w:keepNext w:val="0"/>
        <w:keepLines w:val="0"/>
        <w:pageBreakBefore w:val="0"/>
        <w:widowControl w:val="0"/>
        <w:numPr>
          <w:ilvl w:val="0"/>
          <w:numId w:val="0"/>
        </w:numPr>
        <w:kinsoku/>
        <w:wordWrap/>
        <w:overflowPunct w:val="0"/>
        <w:topLinePunct w:val="0"/>
        <w:autoSpaceDE/>
        <w:autoSpaceDN/>
        <w:bidi w:val="0"/>
        <w:adjustRightInd/>
        <w:ind w:leftChars="0"/>
        <w:jc w:val="left"/>
        <w:textAlignment w:val="auto"/>
        <w:rPr>
          <w:rFonts w:hint="eastAsia" w:ascii="宋体" w:hAnsi="宋体" w:cs="宋体"/>
          <w:sz w:val="28"/>
          <w:szCs w:val="28"/>
        </w:rPr>
      </w:pPr>
      <w:r>
        <w:rPr>
          <w:rFonts w:hint="eastAsia" w:ascii="宋体" w:hAnsi="宋体" w:cs="宋体"/>
          <w:sz w:val="28"/>
          <w:szCs w:val="28"/>
        </w:rPr>
        <w:t>体检结果如有重大异常，中心工作人员将及时通知体检者本人（检后电话：025-89699015、15380918612</w:t>
      </w:r>
      <w:r>
        <w:rPr>
          <w:rFonts w:hint="eastAsia" w:ascii="宋体" w:hAnsi="宋体" w:cs="宋体"/>
          <w:sz w:val="28"/>
          <w:szCs w:val="28"/>
          <w:lang w:eastAsia="zh-CN"/>
        </w:rPr>
        <w:t>，</w:t>
      </w:r>
      <w:r>
        <w:rPr>
          <w:rFonts w:hint="eastAsia" w:ascii="宋体" w:hAnsi="宋体" w:cs="宋体"/>
          <w:sz w:val="28"/>
          <w:szCs w:val="28"/>
        </w:rPr>
        <w:t>请您注意接听）并指导至健康管理门诊进行咨询。</w:t>
      </w:r>
    </w:p>
    <w:p w14:paraId="61772BD2">
      <w:pPr>
        <w:keepNext w:val="0"/>
        <w:keepLines w:val="0"/>
        <w:pageBreakBefore w:val="0"/>
        <w:widowControl w:val="0"/>
        <w:numPr>
          <w:ilvl w:val="0"/>
          <w:numId w:val="0"/>
        </w:numPr>
        <w:kinsoku/>
        <w:wordWrap/>
        <w:overflowPunct w:val="0"/>
        <w:topLinePunct w:val="0"/>
        <w:autoSpaceDE/>
        <w:autoSpaceDN/>
        <w:bidi w:val="0"/>
        <w:adjustRightInd/>
        <w:ind w:leftChars="0"/>
        <w:jc w:val="center"/>
        <w:textAlignment w:val="auto"/>
        <w:rPr>
          <w:rFonts w:hint="eastAsia" w:ascii="Calibri" w:hAnsi="Calibri"/>
          <w:b/>
          <w:bCs/>
          <w:kern w:val="0"/>
          <w:sz w:val="28"/>
          <w:szCs w:val="28"/>
          <w:lang w:eastAsia="zh-CN"/>
        </w:rPr>
      </w:pPr>
      <w:r>
        <w:rPr>
          <w:rFonts w:hint="eastAsia" w:ascii="Times New Roman" w:hAnsi="Times New Roman" w:eastAsia="宋体" w:cs="Times New Roman"/>
          <w:b/>
          <w:bCs/>
          <w:sz w:val="36"/>
          <w:szCs w:val="36"/>
          <w:lang w:eastAsia="zh-CN"/>
        </w:rPr>
        <w:t>在线查询体检报告</w:t>
      </w:r>
    </w:p>
    <w:p w14:paraId="1FE7B2BB">
      <w:pPr>
        <w:keepNext w:val="0"/>
        <w:keepLines w:val="0"/>
        <w:pageBreakBefore w:val="0"/>
        <w:widowControl w:val="0"/>
        <w:numPr>
          <w:ilvl w:val="0"/>
          <w:numId w:val="0"/>
        </w:numPr>
        <w:kinsoku/>
        <w:wordWrap/>
        <w:overflowPunct w:val="0"/>
        <w:topLinePunct w:val="0"/>
        <w:autoSpaceDE/>
        <w:autoSpaceDN/>
        <w:bidi w:val="0"/>
        <w:adjustRightInd/>
        <w:ind w:leftChars="0"/>
        <w:jc w:val="left"/>
        <w:textAlignment w:val="auto"/>
        <w:rPr>
          <w:rFonts w:hint="eastAsia" w:ascii="Calibri" w:hAnsi="Calibri"/>
          <w:b/>
          <w:bCs/>
          <w:kern w:val="0"/>
          <w:sz w:val="28"/>
          <w:szCs w:val="28"/>
        </w:rPr>
      </w:pPr>
      <w:r>
        <w:rPr>
          <w:rFonts w:hint="eastAsia"/>
          <w:b w:val="0"/>
          <w:bCs w:val="0"/>
          <w:sz w:val="28"/>
          <w:szCs w:val="36"/>
          <w:vertAlign w:val="baseline"/>
          <w:lang w:eastAsia="zh-CN"/>
        </w:rPr>
        <w:t>在线查询体检报告流程：</w:t>
      </w:r>
      <w:r>
        <w:rPr>
          <w:rFonts w:hint="eastAsia"/>
          <w:b w:val="0"/>
          <w:bCs w:val="0"/>
          <w:sz w:val="28"/>
          <w:szCs w:val="36"/>
          <w:u w:val="single"/>
          <w:vertAlign w:val="baseline"/>
        </w:rPr>
        <w:t>扫描二维码，关注“江苏省省级机关医院健康管理中心”微信公众号</w:t>
      </w:r>
      <w:r>
        <w:rPr>
          <w:rFonts w:hint="eastAsia"/>
          <w:b w:val="0"/>
          <w:bCs w:val="0"/>
          <w:sz w:val="28"/>
          <w:szCs w:val="36"/>
          <w:u w:val="single"/>
          <w:vertAlign w:val="baseline"/>
          <w:lang w:eastAsia="zh-CN"/>
        </w:rPr>
        <w:t>→如已注册登录，点击“报告查询”查看相应体检报告→可分别查看完整体检报告与检验报告，点击对应报告即可进入（仅显示总检结束后报告）→如首次使用，请点击“体检预约”完成信息注册→输入手机号码，获取验证码进行登录→填写个人基本信息→点击“导航”-“报告查询”→可分别查看完整报告与检验报告，点击对应报告即可进入（仅显示总检结束后报告）</w:t>
      </w:r>
      <w:r>
        <w:rPr>
          <w:sz w:val="28"/>
          <w:szCs w:val="28"/>
        </w:rPr>
        <w:drawing>
          <wp:inline distT="0" distB="0" distL="114300" distR="114300">
            <wp:extent cx="5383530" cy="3446780"/>
            <wp:effectExtent l="0" t="0" r="7620" b="1270"/>
            <wp:docPr id="20" name="图片 50" descr="C:/Users/user/Desktop/附件3.体检报告查询流程图_01.png附件3.体检报告查询流程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0" descr="C:/Users/user/Desktop/附件3.体检报告查询流程图_01.png附件3.体检报告查询流程图_01"/>
                    <pic:cNvPicPr>
                      <a:picLocks noChangeAspect="1"/>
                    </pic:cNvPicPr>
                  </pic:nvPicPr>
                  <pic:blipFill>
                    <a:blip r:embed="rId26"/>
                    <a:srcRect t="4736" b="4736"/>
                    <a:stretch>
                      <a:fillRect/>
                    </a:stretch>
                  </pic:blipFill>
                  <pic:spPr>
                    <a:xfrm>
                      <a:off x="0" y="0"/>
                      <a:ext cx="5383530" cy="3446780"/>
                    </a:xfrm>
                    <a:prstGeom prst="rect">
                      <a:avLst/>
                    </a:prstGeom>
                    <a:noFill/>
                    <a:ln>
                      <a:noFill/>
                    </a:ln>
                  </pic:spPr>
                </pic:pic>
              </a:graphicData>
            </a:graphic>
          </wp:inline>
        </w:drawing>
      </w:r>
    </w:p>
    <w:p w14:paraId="39AA4A59">
      <w:pPr>
        <w:snapToGrid w:val="0"/>
        <w:spacing w:line="360" w:lineRule="auto"/>
        <w:rPr>
          <w:rFonts w:hint="eastAsia" w:asciiTheme="minorEastAsia" w:hAnsiTheme="minorEastAsia" w:eastAsiaTheme="minorEastAsia" w:cstheme="minorEastAsia"/>
          <w:b/>
          <w:bCs/>
          <w:snapToGrid w:val="0"/>
          <w:color w:val="auto"/>
          <w:sz w:val="24"/>
          <w:szCs w:val="24"/>
        </w:rPr>
      </w:pPr>
      <w:bookmarkStart w:id="3" w:name="_GoBack"/>
      <w:r>
        <w:rPr>
          <w:rFonts w:hint="eastAsia" w:ascii="宋体" w:hAnsi="宋体" w:cs="黑体"/>
          <w:b/>
          <w:bCs/>
          <w:sz w:val="30"/>
          <w:szCs w:val="30"/>
        </w:rPr>
        <w:t>四、体检项目</w:t>
      </w:r>
    </w:p>
    <w:bookmarkEnd w:id="3"/>
    <w:p w14:paraId="54F30A3A">
      <w:pPr>
        <w:snapToGrid w:val="0"/>
        <w:spacing w:line="360" w:lineRule="auto"/>
        <w:rPr>
          <w:rFonts w:hint="eastAsia" w:asciiTheme="minorEastAsia" w:hAnsiTheme="minorEastAsia" w:eastAsiaTheme="minorEastAsia" w:cstheme="minorEastAsia"/>
          <w:b/>
          <w:bCs/>
          <w:snapToGrid w:val="0"/>
          <w:color w:val="auto"/>
          <w:sz w:val="24"/>
          <w:szCs w:val="24"/>
        </w:rPr>
      </w:pPr>
      <w:bookmarkStart w:id="0" w:name="_Toc16593"/>
      <w:r>
        <w:rPr>
          <w:rFonts w:hint="eastAsia" w:asciiTheme="minorEastAsia" w:hAnsiTheme="minorEastAsia" w:eastAsiaTheme="minorEastAsia" w:cstheme="minorEastAsia"/>
          <w:b/>
          <w:bCs/>
          <w:snapToGrid w:val="0"/>
          <w:color w:val="auto"/>
          <w:sz w:val="24"/>
          <w:szCs w:val="24"/>
        </w:rPr>
        <w:t>（一）教职工及离退休人员体检项目表</w:t>
      </w:r>
      <w:bookmarkEnd w:id="0"/>
    </w:p>
    <w:tbl>
      <w:tblPr>
        <w:tblStyle w:val="12"/>
        <w:tblW w:w="486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
        <w:gridCol w:w="2857"/>
        <w:gridCol w:w="4466"/>
      </w:tblGrid>
      <w:tr w14:paraId="0097F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582" w:type="pct"/>
            <w:vAlign w:val="center"/>
          </w:tcPr>
          <w:p w14:paraId="0ADC415E">
            <w:pPr>
              <w:snapToGrid w:val="0"/>
              <w:spacing w:line="360" w:lineRule="auto"/>
              <w:jc w:val="center"/>
              <w:rPr>
                <w:rFonts w:hint="eastAsia" w:asciiTheme="minorEastAsia" w:hAnsiTheme="minorEastAsia" w:eastAsiaTheme="minorEastAsia" w:cstheme="minorEastAsia"/>
                <w:b/>
                <w:bCs/>
                <w:snapToGrid w:val="0"/>
                <w:color w:val="auto"/>
                <w:sz w:val="24"/>
                <w:szCs w:val="24"/>
              </w:rPr>
            </w:pPr>
            <w:r>
              <w:rPr>
                <w:rFonts w:hint="eastAsia" w:asciiTheme="minorEastAsia" w:hAnsiTheme="minorEastAsia" w:eastAsiaTheme="minorEastAsia" w:cstheme="minorEastAsia"/>
                <w:b/>
                <w:bCs/>
                <w:snapToGrid w:val="0"/>
                <w:color w:val="auto"/>
                <w:sz w:val="24"/>
                <w:szCs w:val="24"/>
              </w:rPr>
              <w:t>序号</w:t>
            </w:r>
          </w:p>
        </w:tc>
        <w:tc>
          <w:tcPr>
            <w:tcW w:w="1723" w:type="pct"/>
            <w:vAlign w:val="center"/>
          </w:tcPr>
          <w:p w14:paraId="3EC47503">
            <w:pPr>
              <w:snapToGrid w:val="0"/>
              <w:spacing w:line="360" w:lineRule="auto"/>
              <w:jc w:val="center"/>
              <w:rPr>
                <w:rFonts w:hint="eastAsia" w:asciiTheme="minorEastAsia" w:hAnsiTheme="minorEastAsia" w:eastAsiaTheme="minorEastAsia" w:cstheme="minorEastAsia"/>
                <w:b/>
                <w:bCs/>
                <w:snapToGrid w:val="0"/>
                <w:color w:val="auto"/>
                <w:sz w:val="24"/>
                <w:szCs w:val="24"/>
              </w:rPr>
            </w:pPr>
            <w:r>
              <w:rPr>
                <w:rFonts w:hint="eastAsia" w:asciiTheme="minorEastAsia" w:hAnsiTheme="minorEastAsia" w:eastAsiaTheme="minorEastAsia" w:cstheme="minorEastAsia"/>
                <w:b/>
                <w:bCs/>
                <w:snapToGrid w:val="0"/>
                <w:color w:val="auto"/>
                <w:sz w:val="24"/>
                <w:szCs w:val="24"/>
              </w:rPr>
              <w:t>体检服务项目</w:t>
            </w:r>
          </w:p>
        </w:tc>
        <w:tc>
          <w:tcPr>
            <w:tcW w:w="2693" w:type="pct"/>
            <w:vAlign w:val="center"/>
          </w:tcPr>
          <w:p w14:paraId="0F4C63A9">
            <w:pPr>
              <w:snapToGrid w:val="0"/>
              <w:spacing w:line="360" w:lineRule="auto"/>
              <w:jc w:val="center"/>
              <w:rPr>
                <w:rFonts w:hint="eastAsia" w:asciiTheme="minorEastAsia" w:hAnsiTheme="minorEastAsia" w:eastAsiaTheme="minorEastAsia" w:cstheme="minorEastAsia"/>
                <w:b/>
                <w:bCs/>
                <w:snapToGrid w:val="0"/>
                <w:color w:val="auto"/>
                <w:sz w:val="24"/>
                <w:szCs w:val="24"/>
              </w:rPr>
            </w:pPr>
            <w:r>
              <w:rPr>
                <w:rFonts w:hint="eastAsia" w:asciiTheme="minorEastAsia" w:hAnsiTheme="minorEastAsia" w:eastAsiaTheme="minorEastAsia" w:cstheme="minorEastAsia"/>
                <w:b/>
                <w:bCs/>
                <w:snapToGrid w:val="0"/>
                <w:color w:val="auto"/>
                <w:sz w:val="24"/>
                <w:szCs w:val="24"/>
              </w:rPr>
              <w:t>说明</w:t>
            </w:r>
          </w:p>
        </w:tc>
      </w:tr>
      <w:tr w14:paraId="3871B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582" w:type="pct"/>
            <w:vAlign w:val="center"/>
          </w:tcPr>
          <w:p w14:paraId="61FEA52A">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1</w:t>
            </w:r>
          </w:p>
        </w:tc>
        <w:tc>
          <w:tcPr>
            <w:tcW w:w="1723" w:type="pct"/>
            <w:vAlign w:val="center"/>
          </w:tcPr>
          <w:p w14:paraId="01132B88">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内科</w:t>
            </w:r>
          </w:p>
        </w:tc>
        <w:tc>
          <w:tcPr>
            <w:tcW w:w="2693" w:type="pct"/>
            <w:vAlign w:val="center"/>
          </w:tcPr>
          <w:p w14:paraId="3EC220D1">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一般情况、心、肺、肝、脾等</w:t>
            </w:r>
          </w:p>
        </w:tc>
      </w:tr>
      <w:tr w14:paraId="3D25D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trPr>
        <w:tc>
          <w:tcPr>
            <w:tcW w:w="582" w:type="pct"/>
            <w:vAlign w:val="center"/>
          </w:tcPr>
          <w:p w14:paraId="7EB4861E">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2</w:t>
            </w:r>
          </w:p>
        </w:tc>
        <w:tc>
          <w:tcPr>
            <w:tcW w:w="1723" w:type="pct"/>
            <w:vAlign w:val="center"/>
          </w:tcPr>
          <w:p w14:paraId="6E8A1891">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外科(男)</w:t>
            </w:r>
          </w:p>
        </w:tc>
        <w:tc>
          <w:tcPr>
            <w:tcW w:w="2693" w:type="pct"/>
            <w:vAlign w:val="center"/>
          </w:tcPr>
          <w:p w14:paraId="44A9B231">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四肢、脊柱、淋巴结、甲状腺、肛诊、前列腺等</w:t>
            </w:r>
          </w:p>
        </w:tc>
      </w:tr>
      <w:tr w14:paraId="6C4F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582" w:type="pct"/>
            <w:vAlign w:val="center"/>
          </w:tcPr>
          <w:p w14:paraId="70F4CDE9">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3</w:t>
            </w:r>
          </w:p>
        </w:tc>
        <w:tc>
          <w:tcPr>
            <w:tcW w:w="1723" w:type="pct"/>
            <w:vAlign w:val="center"/>
          </w:tcPr>
          <w:p w14:paraId="7A8C5947">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外科(女)</w:t>
            </w:r>
          </w:p>
        </w:tc>
        <w:tc>
          <w:tcPr>
            <w:tcW w:w="2693" w:type="pct"/>
            <w:vAlign w:val="center"/>
          </w:tcPr>
          <w:p w14:paraId="32EA947D">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四肢、脊柱、淋巴结、甲状腺、肛诊等</w:t>
            </w:r>
          </w:p>
        </w:tc>
      </w:tr>
      <w:tr w14:paraId="6713D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582" w:type="pct"/>
            <w:vAlign w:val="center"/>
          </w:tcPr>
          <w:p w14:paraId="37096CFF">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4</w:t>
            </w:r>
          </w:p>
        </w:tc>
        <w:tc>
          <w:tcPr>
            <w:tcW w:w="1723" w:type="pct"/>
            <w:vAlign w:val="center"/>
          </w:tcPr>
          <w:p w14:paraId="7FA75012">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五官科</w:t>
            </w:r>
          </w:p>
        </w:tc>
        <w:tc>
          <w:tcPr>
            <w:tcW w:w="2693" w:type="pct"/>
            <w:vAlign w:val="center"/>
          </w:tcPr>
          <w:p w14:paraId="31DF8591">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耳、鼻、喉</w:t>
            </w:r>
          </w:p>
        </w:tc>
      </w:tr>
      <w:tr w14:paraId="42CA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582" w:type="pct"/>
            <w:vAlign w:val="center"/>
          </w:tcPr>
          <w:p w14:paraId="7EA409CA">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5</w:t>
            </w:r>
          </w:p>
        </w:tc>
        <w:tc>
          <w:tcPr>
            <w:tcW w:w="1723" w:type="pct"/>
            <w:vAlign w:val="center"/>
          </w:tcPr>
          <w:p w14:paraId="761885DD">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眼科</w:t>
            </w:r>
          </w:p>
        </w:tc>
        <w:tc>
          <w:tcPr>
            <w:tcW w:w="2693" w:type="pct"/>
            <w:vAlign w:val="center"/>
          </w:tcPr>
          <w:p w14:paraId="5E000B9C">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视力、外眼，＞40岁或高血压者 + 眼底</w:t>
            </w:r>
          </w:p>
        </w:tc>
      </w:tr>
      <w:tr w14:paraId="3CC6A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582" w:type="pct"/>
            <w:vAlign w:val="center"/>
          </w:tcPr>
          <w:p w14:paraId="649136CD">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6</w:t>
            </w:r>
          </w:p>
        </w:tc>
        <w:tc>
          <w:tcPr>
            <w:tcW w:w="1723" w:type="pct"/>
            <w:vAlign w:val="center"/>
          </w:tcPr>
          <w:p w14:paraId="31F042F8">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血压</w:t>
            </w:r>
          </w:p>
        </w:tc>
        <w:tc>
          <w:tcPr>
            <w:tcW w:w="2693" w:type="pct"/>
            <w:vAlign w:val="center"/>
          </w:tcPr>
          <w:p w14:paraId="3D428A76">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w:t>
            </w:r>
          </w:p>
        </w:tc>
      </w:tr>
      <w:tr w14:paraId="2D08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582" w:type="pct"/>
            <w:vAlign w:val="center"/>
          </w:tcPr>
          <w:p w14:paraId="2D4D6AE4">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7</w:t>
            </w:r>
          </w:p>
        </w:tc>
        <w:tc>
          <w:tcPr>
            <w:tcW w:w="1723" w:type="pct"/>
            <w:vAlign w:val="center"/>
          </w:tcPr>
          <w:p w14:paraId="0E0A82C6">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口腔科</w:t>
            </w:r>
          </w:p>
        </w:tc>
        <w:tc>
          <w:tcPr>
            <w:tcW w:w="2693" w:type="pct"/>
            <w:vAlign w:val="center"/>
          </w:tcPr>
          <w:p w14:paraId="0BCC05D3">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牙体,牙周,口腔黏膜,颌面部</w:t>
            </w:r>
          </w:p>
        </w:tc>
      </w:tr>
      <w:tr w14:paraId="37DE1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582" w:type="pct"/>
            <w:vAlign w:val="center"/>
          </w:tcPr>
          <w:p w14:paraId="2D4F4E1E">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8</w:t>
            </w:r>
          </w:p>
        </w:tc>
        <w:tc>
          <w:tcPr>
            <w:tcW w:w="1723" w:type="pct"/>
            <w:vAlign w:val="center"/>
          </w:tcPr>
          <w:p w14:paraId="56749E2D">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血常规</w:t>
            </w:r>
          </w:p>
        </w:tc>
        <w:tc>
          <w:tcPr>
            <w:tcW w:w="2693" w:type="pct"/>
            <w:vAlign w:val="center"/>
          </w:tcPr>
          <w:p w14:paraId="39ACDE6F">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22项</w:t>
            </w:r>
          </w:p>
        </w:tc>
      </w:tr>
      <w:tr w14:paraId="5B5EB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82" w:type="pct"/>
            <w:vAlign w:val="center"/>
          </w:tcPr>
          <w:p w14:paraId="5D2B1573">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9</w:t>
            </w:r>
          </w:p>
        </w:tc>
        <w:tc>
          <w:tcPr>
            <w:tcW w:w="1723" w:type="pct"/>
            <w:vAlign w:val="center"/>
          </w:tcPr>
          <w:p w14:paraId="58E2C3A7">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尿常规</w:t>
            </w:r>
          </w:p>
        </w:tc>
        <w:tc>
          <w:tcPr>
            <w:tcW w:w="2693" w:type="pct"/>
            <w:vAlign w:val="center"/>
          </w:tcPr>
          <w:p w14:paraId="4A668DE7">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尿液分析全套</w:t>
            </w:r>
          </w:p>
        </w:tc>
      </w:tr>
      <w:tr w14:paraId="4CC71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82" w:type="pct"/>
            <w:vAlign w:val="center"/>
          </w:tcPr>
          <w:p w14:paraId="5CF759E5">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10</w:t>
            </w:r>
          </w:p>
        </w:tc>
        <w:tc>
          <w:tcPr>
            <w:tcW w:w="1723" w:type="pct"/>
            <w:vAlign w:val="center"/>
          </w:tcPr>
          <w:p w14:paraId="18408700">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肝功能</w:t>
            </w:r>
          </w:p>
        </w:tc>
        <w:tc>
          <w:tcPr>
            <w:tcW w:w="2693" w:type="pct"/>
            <w:vAlign w:val="center"/>
          </w:tcPr>
          <w:p w14:paraId="3C8B72FD">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ALT、AST、GGT</w:t>
            </w:r>
          </w:p>
        </w:tc>
      </w:tr>
      <w:tr w14:paraId="7FF6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82" w:type="pct"/>
            <w:vAlign w:val="center"/>
          </w:tcPr>
          <w:p w14:paraId="0DF40A4A">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11</w:t>
            </w:r>
          </w:p>
        </w:tc>
        <w:tc>
          <w:tcPr>
            <w:tcW w:w="1723" w:type="pct"/>
            <w:vAlign w:val="center"/>
          </w:tcPr>
          <w:p w14:paraId="663B7E7D">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肾功能</w:t>
            </w:r>
          </w:p>
        </w:tc>
        <w:tc>
          <w:tcPr>
            <w:tcW w:w="2693" w:type="pct"/>
            <w:vAlign w:val="center"/>
          </w:tcPr>
          <w:p w14:paraId="5CB0A6A6">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肌酐、尿素氮、尿酸</w:t>
            </w:r>
          </w:p>
        </w:tc>
      </w:tr>
      <w:tr w14:paraId="37F11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82" w:type="pct"/>
            <w:vAlign w:val="center"/>
          </w:tcPr>
          <w:p w14:paraId="1CFC611B">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12</w:t>
            </w:r>
          </w:p>
        </w:tc>
        <w:tc>
          <w:tcPr>
            <w:tcW w:w="1723" w:type="pct"/>
            <w:vAlign w:val="center"/>
          </w:tcPr>
          <w:p w14:paraId="1926159D">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血糖</w:t>
            </w:r>
          </w:p>
        </w:tc>
        <w:tc>
          <w:tcPr>
            <w:tcW w:w="2693" w:type="pct"/>
            <w:vAlign w:val="center"/>
          </w:tcPr>
          <w:p w14:paraId="6058563C">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空腹血糖</w:t>
            </w:r>
          </w:p>
        </w:tc>
      </w:tr>
      <w:tr w14:paraId="02D46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82" w:type="pct"/>
            <w:vAlign w:val="center"/>
          </w:tcPr>
          <w:p w14:paraId="36D50004">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13</w:t>
            </w:r>
          </w:p>
        </w:tc>
        <w:tc>
          <w:tcPr>
            <w:tcW w:w="1723" w:type="pct"/>
            <w:vAlign w:val="center"/>
          </w:tcPr>
          <w:p w14:paraId="246E76F7">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血脂四项</w:t>
            </w:r>
          </w:p>
        </w:tc>
        <w:tc>
          <w:tcPr>
            <w:tcW w:w="2693" w:type="pct"/>
            <w:vAlign w:val="center"/>
          </w:tcPr>
          <w:p w14:paraId="131AB668">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TG、CHO、HDL-C、LDL-C</w:t>
            </w:r>
          </w:p>
        </w:tc>
      </w:tr>
      <w:tr w14:paraId="1B176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82" w:type="pct"/>
            <w:vAlign w:val="center"/>
          </w:tcPr>
          <w:p w14:paraId="2A8CD503">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14</w:t>
            </w:r>
          </w:p>
        </w:tc>
        <w:tc>
          <w:tcPr>
            <w:tcW w:w="1723" w:type="pct"/>
            <w:vAlign w:val="center"/>
          </w:tcPr>
          <w:p w14:paraId="77D493DA">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甲状腺功能三项</w:t>
            </w:r>
          </w:p>
        </w:tc>
        <w:tc>
          <w:tcPr>
            <w:tcW w:w="2693" w:type="pct"/>
            <w:vAlign w:val="center"/>
          </w:tcPr>
          <w:p w14:paraId="76865929">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T3、T4、TSH</w:t>
            </w:r>
          </w:p>
        </w:tc>
      </w:tr>
      <w:tr w14:paraId="2C3C7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82" w:type="pct"/>
            <w:vAlign w:val="center"/>
          </w:tcPr>
          <w:p w14:paraId="6BD6E3BB">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15</w:t>
            </w:r>
          </w:p>
        </w:tc>
        <w:tc>
          <w:tcPr>
            <w:tcW w:w="1723" w:type="pct"/>
            <w:vMerge w:val="restart"/>
            <w:vAlign w:val="center"/>
          </w:tcPr>
          <w:p w14:paraId="2DEB6563">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肿瘤标志</w:t>
            </w:r>
          </w:p>
          <w:p w14:paraId="3A9D4289">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（定量）</w:t>
            </w:r>
          </w:p>
        </w:tc>
        <w:tc>
          <w:tcPr>
            <w:tcW w:w="2693" w:type="pct"/>
            <w:vAlign w:val="center"/>
          </w:tcPr>
          <w:p w14:paraId="447088CA">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甲胎蛋白（AFP）</w:t>
            </w:r>
          </w:p>
        </w:tc>
      </w:tr>
      <w:tr w14:paraId="3BB5C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82" w:type="pct"/>
            <w:vAlign w:val="center"/>
          </w:tcPr>
          <w:p w14:paraId="27AF57CE">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16</w:t>
            </w:r>
          </w:p>
        </w:tc>
        <w:tc>
          <w:tcPr>
            <w:tcW w:w="1723" w:type="pct"/>
            <w:vMerge w:val="continue"/>
            <w:vAlign w:val="center"/>
          </w:tcPr>
          <w:p w14:paraId="0CC84584">
            <w:pPr>
              <w:snapToGrid w:val="0"/>
              <w:spacing w:line="360" w:lineRule="auto"/>
              <w:rPr>
                <w:rFonts w:hint="eastAsia" w:asciiTheme="minorEastAsia" w:hAnsiTheme="minorEastAsia" w:eastAsiaTheme="minorEastAsia" w:cstheme="minorEastAsia"/>
                <w:snapToGrid w:val="0"/>
                <w:color w:val="auto"/>
                <w:sz w:val="24"/>
                <w:szCs w:val="24"/>
              </w:rPr>
            </w:pPr>
          </w:p>
        </w:tc>
        <w:tc>
          <w:tcPr>
            <w:tcW w:w="2693" w:type="pct"/>
            <w:vAlign w:val="center"/>
          </w:tcPr>
          <w:p w14:paraId="29FBCB5F">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癌胚抗原（CEA）</w:t>
            </w:r>
          </w:p>
        </w:tc>
      </w:tr>
      <w:tr w14:paraId="0C30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82" w:type="pct"/>
            <w:vAlign w:val="center"/>
          </w:tcPr>
          <w:p w14:paraId="48EC3932">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17</w:t>
            </w:r>
          </w:p>
        </w:tc>
        <w:tc>
          <w:tcPr>
            <w:tcW w:w="1723" w:type="pct"/>
            <w:vMerge w:val="continue"/>
            <w:vAlign w:val="center"/>
          </w:tcPr>
          <w:p w14:paraId="295B12D9">
            <w:pPr>
              <w:snapToGrid w:val="0"/>
              <w:spacing w:line="360" w:lineRule="auto"/>
              <w:rPr>
                <w:rFonts w:hint="eastAsia" w:asciiTheme="minorEastAsia" w:hAnsiTheme="minorEastAsia" w:eastAsiaTheme="minorEastAsia" w:cstheme="minorEastAsia"/>
                <w:snapToGrid w:val="0"/>
                <w:color w:val="auto"/>
                <w:sz w:val="24"/>
                <w:szCs w:val="24"/>
              </w:rPr>
            </w:pPr>
          </w:p>
        </w:tc>
        <w:tc>
          <w:tcPr>
            <w:tcW w:w="2693" w:type="pct"/>
            <w:vAlign w:val="center"/>
          </w:tcPr>
          <w:p w14:paraId="591EC321">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胰腺癌肿瘤筛检（CA19-9）</w:t>
            </w:r>
          </w:p>
        </w:tc>
      </w:tr>
      <w:tr w14:paraId="53EDC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82" w:type="pct"/>
            <w:vAlign w:val="center"/>
          </w:tcPr>
          <w:p w14:paraId="4386F24C">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18</w:t>
            </w:r>
          </w:p>
        </w:tc>
        <w:tc>
          <w:tcPr>
            <w:tcW w:w="1723" w:type="pct"/>
            <w:vMerge w:val="continue"/>
            <w:vAlign w:val="center"/>
          </w:tcPr>
          <w:p w14:paraId="2B0A1DA2">
            <w:pPr>
              <w:snapToGrid w:val="0"/>
              <w:spacing w:line="360" w:lineRule="auto"/>
              <w:rPr>
                <w:rFonts w:hint="eastAsia" w:asciiTheme="minorEastAsia" w:hAnsiTheme="minorEastAsia" w:eastAsiaTheme="minorEastAsia" w:cstheme="minorEastAsia"/>
                <w:snapToGrid w:val="0"/>
                <w:color w:val="auto"/>
                <w:sz w:val="24"/>
                <w:szCs w:val="24"/>
              </w:rPr>
            </w:pPr>
          </w:p>
        </w:tc>
        <w:tc>
          <w:tcPr>
            <w:tcW w:w="2693" w:type="pct"/>
            <w:vAlign w:val="center"/>
          </w:tcPr>
          <w:p w14:paraId="5FB23D7D">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前列腺特异性抗原（TPSA）（男性项目）</w:t>
            </w:r>
          </w:p>
        </w:tc>
      </w:tr>
      <w:tr w14:paraId="3D280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82" w:type="pct"/>
            <w:vAlign w:val="center"/>
          </w:tcPr>
          <w:p w14:paraId="650F933F">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19</w:t>
            </w:r>
          </w:p>
        </w:tc>
        <w:tc>
          <w:tcPr>
            <w:tcW w:w="1723" w:type="pct"/>
            <w:vMerge w:val="continue"/>
            <w:vAlign w:val="center"/>
          </w:tcPr>
          <w:p w14:paraId="2190B1BA">
            <w:pPr>
              <w:snapToGrid w:val="0"/>
              <w:spacing w:line="360" w:lineRule="auto"/>
              <w:rPr>
                <w:rFonts w:hint="eastAsia" w:asciiTheme="minorEastAsia" w:hAnsiTheme="minorEastAsia" w:eastAsiaTheme="minorEastAsia" w:cstheme="minorEastAsia"/>
                <w:snapToGrid w:val="0"/>
                <w:color w:val="auto"/>
                <w:sz w:val="24"/>
                <w:szCs w:val="24"/>
              </w:rPr>
            </w:pPr>
          </w:p>
        </w:tc>
        <w:tc>
          <w:tcPr>
            <w:tcW w:w="2693" w:type="pct"/>
            <w:vAlign w:val="center"/>
          </w:tcPr>
          <w:p w14:paraId="3F6C69EA">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卵巢癌肿瘤筛检（CA125）（女性项目）</w:t>
            </w:r>
          </w:p>
        </w:tc>
      </w:tr>
      <w:tr w14:paraId="6FA9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82" w:type="pct"/>
            <w:vAlign w:val="center"/>
          </w:tcPr>
          <w:p w14:paraId="43373D8D">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20</w:t>
            </w:r>
          </w:p>
        </w:tc>
        <w:tc>
          <w:tcPr>
            <w:tcW w:w="1723" w:type="pct"/>
            <w:vAlign w:val="center"/>
          </w:tcPr>
          <w:p w14:paraId="39411633">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心电图</w:t>
            </w:r>
          </w:p>
        </w:tc>
        <w:tc>
          <w:tcPr>
            <w:tcW w:w="2693" w:type="pct"/>
            <w:vAlign w:val="center"/>
          </w:tcPr>
          <w:p w14:paraId="68A727A9">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12导联心电图</w:t>
            </w:r>
          </w:p>
        </w:tc>
      </w:tr>
      <w:tr w14:paraId="4B7C4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582" w:type="pct"/>
            <w:vAlign w:val="center"/>
          </w:tcPr>
          <w:p w14:paraId="53C98C7F">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21</w:t>
            </w:r>
          </w:p>
        </w:tc>
        <w:tc>
          <w:tcPr>
            <w:tcW w:w="1723" w:type="pct"/>
            <w:vAlign w:val="center"/>
          </w:tcPr>
          <w:p w14:paraId="761FBE46">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胸部CT平扫</w:t>
            </w:r>
          </w:p>
        </w:tc>
        <w:tc>
          <w:tcPr>
            <w:tcW w:w="2693" w:type="pct"/>
            <w:vAlign w:val="center"/>
          </w:tcPr>
          <w:p w14:paraId="5CA1EFE0">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须进一步检查和治疗者免费出片</w:t>
            </w:r>
          </w:p>
        </w:tc>
      </w:tr>
      <w:tr w14:paraId="29D3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582" w:type="pct"/>
            <w:vAlign w:val="center"/>
          </w:tcPr>
          <w:p w14:paraId="78FE2F0E">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22</w:t>
            </w:r>
          </w:p>
        </w:tc>
        <w:tc>
          <w:tcPr>
            <w:tcW w:w="1723" w:type="pct"/>
            <w:vAlign w:val="center"/>
          </w:tcPr>
          <w:p w14:paraId="4A60197B">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B超</w:t>
            </w:r>
          </w:p>
        </w:tc>
        <w:tc>
          <w:tcPr>
            <w:tcW w:w="2693" w:type="pct"/>
            <w:vAlign w:val="center"/>
          </w:tcPr>
          <w:p w14:paraId="1A36226C">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甲状腺</w:t>
            </w:r>
          </w:p>
        </w:tc>
      </w:tr>
      <w:tr w14:paraId="5289B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582" w:type="pct"/>
            <w:vAlign w:val="center"/>
          </w:tcPr>
          <w:p w14:paraId="2937137F">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23</w:t>
            </w:r>
          </w:p>
        </w:tc>
        <w:tc>
          <w:tcPr>
            <w:tcW w:w="1723" w:type="pct"/>
            <w:vAlign w:val="center"/>
          </w:tcPr>
          <w:p w14:paraId="40F3B3FF">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B超</w:t>
            </w:r>
          </w:p>
        </w:tc>
        <w:tc>
          <w:tcPr>
            <w:tcW w:w="2693" w:type="pct"/>
            <w:vAlign w:val="center"/>
          </w:tcPr>
          <w:p w14:paraId="082019C8">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肝、胆、胰、脾、双肾</w:t>
            </w:r>
          </w:p>
        </w:tc>
      </w:tr>
      <w:tr w14:paraId="783DC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82" w:type="pct"/>
            <w:vAlign w:val="center"/>
          </w:tcPr>
          <w:p w14:paraId="098C697C">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24</w:t>
            </w:r>
          </w:p>
        </w:tc>
        <w:tc>
          <w:tcPr>
            <w:tcW w:w="1723" w:type="pct"/>
            <w:vAlign w:val="center"/>
          </w:tcPr>
          <w:p w14:paraId="6AB76EA5">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B超（≥45岁）</w:t>
            </w:r>
          </w:p>
        </w:tc>
        <w:tc>
          <w:tcPr>
            <w:tcW w:w="2693" w:type="pct"/>
            <w:vAlign w:val="center"/>
          </w:tcPr>
          <w:p w14:paraId="56CFAD72">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膀胱、前列腺（男性）</w:t>
            </w:r>
          </w:p>
        </w:tc>
      </w:tr>
      <w:tr w14:paraId="7FB63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82" w:type="pct"/>
            <w:vAlign w:val="center"/>
          </w:tcPr>
          <w:p w14:paraId="745241A1">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25</w:t>
            </w:r>
          </w:p>
        </w:tc>
        <w:tc>
          <w:tcPr>
            <w:tcW w:w="1723" w:type="pct"/>
            <w:vAlign w:val="center"/>
          </w:tcPr>
          <w:p w14:paraId="12ACADCF">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材料+主检+早餐</w:t>
            </w:r>
          </w:p>
        </w:tc>
        <w:tc>
          <w:tcPr>
            <w:tcW w:w="2693" w:type="pct"/>
            <w:vAlign w:val="center"/>
          </w:tcPr>
          <w:p w14:paraId="314358E6">
            <w:pPr>
              <w:snapToGrid w:val="0"/>
              <w:spacing w:line="360" w:lineRule="auto"/>
              <w:rPr>
                <w:rFonts w:hint="eastAsia" w:asciiTheme="minorEastAsia" w:hAnsiTheme="minorEastAsia" w:eastAsiaTheme="minorEastAsia" w:cstheme="minorEastAsia"/>
                <w:snapToGrid w:val="0"/>
                <w:color w:val="auto"/>
                <w:sz w:val="24"/>
                <w:szCs w:val="24"/>
              </w:rPr>
            </w:pPr>
          </w:p>
        </w:tc>
      </w:tr>
    </w:tbl>
    <w:p w14:paraId="0536A22F">
      <w:pPr>
        <w:snapToGrid w:val="0"/>
        <w:spacing w:line="360" w:lineRule="auto"/>
        <w:rPr>
          <w:rFonts w:hint="eastAsia" w:asciiTheme="minorEastAsia" w:hAnsiTheme="minorEastAsia" w:eastAsiaTheme="minorEastAsia" w:cstheme="minorEastAsia"/>
          <w:b/>
          <w:bCs/>
          <w:snapToGrid w:val="0"/>
          <w:color w:val="auto"/>
          <w:sz w:val="24"/>
          <w:szCs w:val="24"/>
        </w:rPr>
      </w:pPr>
    </w:p>
    <w:p w14:paraId="1BF885E5">
      <w:pPr>
        <w:snapToGrid w:val="0"/>
        <w:spacing w:line="360" w:lineRule="auto"/>
        <w:rPr>
          <w:rFonts w:hint="eastAsia" w:asciiTheme="minorEastAsia" w:hAnsiTheme="minorEastAsia" w:eastAsiaTheme="minorEastAsia" w:cstheme="minorEastAsia"/>
          <w:b/>
          <w:bCs/>
          <w:snapToGrid w:val="0"/>
          <w:color w:val="auto"/>
          <w:sz w:val="24"/>
          <w:szCs w:val="24"/>
        </w:rPr>
      </w:pPr>
      <w:bookmarkStart w:id="1" w:name="_Toc6696"/>
      <w:r>
        <w:rPr>
          <w:rFonts w:hint="eastAsia" w:asciiTheme="minorEastAsia" w:hAnsiTheme="minorEastAsia" w:eastAsiaTheme="minorEastAsia" w:cstheme="minorEastAsia"/>
          <w:b/>
          <w:bCs/>
          <w:snapToGrid w:val="0"/>
          <w:color w:val="auto"/>
          <w:sz w:val="24"/>
          <w:szCs w:val="24"/>
        </w:rPr>
        <w:t>（二）女教职工妇女病普查项目表</w:t>
      </w:r>
      <w:bookmarkEnd w:id="1"/>
    </w:p>
    <w:tbl>
      <w:tblPr>
        <w:tblStyle w:val="12"/>
        <w:tblW w:w="48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518"/>
        <w:gridCol w:w="4814"/>
      </w:tblGrid>
      <w:tr w14:paraId="491E9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571" w:type="pct"/>
            <w:vAlign w:val="center"/>
          </w:tcPr>
          <w:p w14:paraId="28356B19">
            <w:pPr>
              <w:snapToGrid w:val="0"/>
              <w:spacing w:line="360" w:lineRule="auto"/>
              <w:rPr>
                <w:rFonts w:hint="eastAsia" w:asciiTheme="minorEastAsia" w:hAnsiTheme="minorEastAsia" w:eastAsiaTheme="minorEastAsia" w:cstheme="minorEastAsia"/>
                <w:b/>
                <w:bCs/>
                <w:snapToGrid w:val="0"/>
                <w:color w:val="auto"/>
                <w:sz w:val="24"/>
                <w:szCs w:val="24"/>
              </w:rPr>
            </w:pPr>
            <w:r>
              <w:rPr>
                <w:rFonts w:hint="eastAsia" w:asciiTheme="minorEastAsia" w:hAnsiTheme="minorEastAsia" w:eastAsiaTheme="minorEastAsia" w:cstheme="minorEastAsia"/>
                <w:b/>
                <w:bCs/>
                <w:snapToGrid w:val="0"/>
                <w:color w:val="auto"/>
                <w:sz w:val="24"/>
                <w:szCs w:val="24"/>
              </w:rPr>
              <w:t>序号</w:t>
            </w:r>
          </w:p>
        </w:tc>
        <w:tc>
          <w:tcPr>
            <w:tcW w:w="1521" w:type="pct"/>
            <w:vAlign w:val="center"/>
          </w:tcPr>
          <w:p w14:paraId="245A6DCF">
            <w:pPr>
              <w:snapToGrid w:val="0"/>
              <w:spacing w:line="360" w:lineRule="auto"/>
              <w:rPr>
                <w:rFonts w:hint="eastAsia" w:asciiTheme="minorEastAsia" w:hAnsiTheme="minorEastAsia" w:eastAsiaTheme="minorEastAsia" w:cstheme="minorEastAsia"/>
                <w:b/>
                <w:bCs/>
                <w:snapToGrid w:val="0"/>
                <w:color w:val="auto"/>
                <w:sz w:val="24"/>
                <w:szCs w:val="24"/>
              </w:rPr>
            </w:pPr>
            <w:r>
              <w:rPr>
                <w:rFonts w:hint="eastAsia" w:asciiTheme="minorEastAsia" w:hAnsiTheme="minorEastAsia" w:eastAsiaTheme="minorEastAsia" w:cstheme="minorEastAsia"/>
                <w:b/>
                <w:bCs/>
                <w:snapToGrid w:val="0"/>
                <w:color w:val="auto"/>
                <w:sz w:val="24"/>
                <w:szCs w:val="24"/>
              </w:rPr>
              <w:t>体检服务项目</w:t>
            </w:r>
          </w:p>
        </w:tc>
        <w:tc>
          <w:tcPr>
            <w:tcW w:w="2907" w:type="pct"/>
            <w:vAlign w:val="center"/>
          </w:tcPr>
          <w:p w14:paraId="63E7A7D6">
            <w:pPr>
              <w:snapToGrid w:val="0"/>
              <w:spacing w:line="360" w:lineRule="auto"/>
              <w:rPr>
                <w:rFonts w:hint="eastAsia" w:asciiTheme="minorEastAsia" w:hAnsiTheme="minorEastAsia" w:eastAsiaTheme="minorEastAsia" w:cstheme="minorEastAsia"/>
                <w:b/>
                <w:bCs/>
                <w:snapToGrid w:val="0"/>
                <w:color w:val="auto"/>
                <w:sz w:val="24"/>
                <w:szCs w:val="24"/>
              </w:rPr>
            </w:pPr>
            <w:r>
              <w:rPr>
                <w:rFonts w:hint="eastAsia" w:asciiTheme="minorEastAsia" w:hAnsiTheme="minorEastAsia" w:eastAsiaTheme="minorEastAsia" w:cstheme="minorEastAsia"/>
                <w:b/>
                <w:bCs/>
                <w:snapToGrid w:val="0"/>
                <w:color w:val="auto"/>
                <w:sz w:val="24"/>
                <w:szCs w:val="24"/>
              </w:rPr>
              <w:t>说明</w:t>
            </w:r>
          </w:p>
        </w:tc>
      </w:tr>
      <w:tr w14:paraId="60BA2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571" w:type="pct"/>
            <w:vAlign w:val="center"/>
          </w:tcPr>
          <w:p w14:paraId="35A9021F">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1</w:t>
            </w:r>
          </w:p>
        </w:tc>
        <w:tc>
          <w:tcPr>
            <w:tcW w:w="1521" w:type="pct"/>
            <w:vAlign w:val="center"/>
          </w:tcPr>
          <w:p w14:paraId="2FC32971">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乳腺手诊、B超</w:t>
            </w:r>
          </w:p>
        </w:tc>
        <w:tc>
          <w:tcPr>
            <w:tcW w:w="2907" w:type="pct"/>
            <w:vAlign w:val="center"/>
          </w:tcPr>
          <w:p w14:paraId="0C2E2125">
            <w:pPr>
              <w:snapToGrid w:val="0"/>
              <w:spacing w:line="360" w:lineRule="auto"/>
              <w:rPr>
                <w:rFonts w:hint="eastAsia" w:asciiTheme="minorEastAsia" w:hAnsiTheme="minorEastAsia" w:eastAsiaTheme="minorEastAsia" w:cstheme="minorEastAsia"/>
                <w:snapToGrid w:val="0"/>
                <w:color w:val="auto"/>
                <w:sz w:val="24"/>
                <w:szCs w:val="24"/>
              </w:rPr>
            </w:pPr>
          </w:p>
        </w:tc>
      </w:tr>
      <w:tr w14:paraId="4C320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571" w:type="pct"/>
            <w:vAlign w:val="center"/>
          </w:tcPr>
          <w:p w14:paraId="619F8ECD">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2</w:t>
            </w:r>
          </w:p>
        </w:tc>
        <w:tc>
          <w:tcPr>
            <w:tcW w:w="1521" w:type="pct"/>
            <w:vAlign w:val="center"/>
          </w:tcPr>
          <w:p w14:paraId="41364AA1">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妇科手诊</w:t>
            </w:r>
          </w:p>
        </w:tc>
        <w:tc>
          <w:tcPr>
            <w:tcW w:w="2907" w:type="pct"/>
            <w:vAlign w:val="center"/>
          </w:tcPr>
          <w:p w14:paraId="72C6B59B">
            <w:pPr>
              <w:snapToGrid w:val="0"/>
              <w:spacing w:line="360" w:lineRule="auto"/>
              <w:rPr>
                <w:rFonts w:hint="eastAsia" w:asciiTheme="minorEastAsia" w:hAnsiTheme="minorEastAsia" w:eastAsiaTheme="minorEastAsia" w:cstheme="minorEastAsia"/>
                <w:snapToGrid w:val="0"/>
                <w:color w:val="auto"/>
                <w:sz w:val="24"/>
                <w:szCs w:val="24"/>
              </w:rPr>
            </w:pPr>
          </w:p>
        </w:tc>
      </w:tr>
      <w:tr w14:paraId="7A626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571" w:type="pct"/>
            <w:vAlign w:val="center"/>
          </w:tcPr>
          <w:p w14:paraId="3584B729">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3</w:t>
            </w:r>
          </w:p>
        </w:tc>
        <w:tc>
          <w:tcPr>
            <w:tcW w:w="1521" w:type="pct"/>
            <w:vAlign w:val="center"/>
          </w:tcPr>
          <w:p w14:paraId="3F7379F5">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白带常规阴道分泌物检查</w:t>
            </w:r>
          </w:p>
        </w:tc>
        <w:tc>
          <w:tcPr>
            <w:tcW w:w="2907" w:type="pct"/>
            <w:vAlign w:val="center"/>
          </w:tcPr>
          <w:p w14:paraId="32762B28">
            <w:pPr>
              <w:snapToGrid w:val="0"/>
              <w:spacing w:line="360" w:lineRule="auto"/>
              <w:rPr>
                <w:rFonts w:hint="eastAsia" w:asciiTheme="minorEastAsia" w:hAnsiTheme="minorEastAsia" w:eastAsiaTheme="minorEastAsia" w:cstheme="minorEastAsia"/>
                <w:snapToGrid w:val="0"/>
                <w:color w:val="auto"/>
                <w:sz w:val="24"/>
                <w:szCs w:val="24"/>
              </w:rPr>
            </w:pPr>
          </w:p>
        </w:tc>
      </w:tr>
      <w:tr w14:paraId="2A6C4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571" w:type="pct"/>
            <w:vAlign w:val="center"/>
          </w:tcPr>
          <w:p w14:paraId="2CF7DB4A">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4</w:t>
            </w:r>
          </w:p>
        </w:tc>
        <w:tc>
          <w:tcPr>
            <w:tcW w:w="1521" w:type="pct"/>
            <w:vAlign w:val="center"/>
          </w:tcPr>
          <w:p w14:paraId="3BA480EC">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液基细胞学妇科TCT</w:t>
            </w:r>
          </w:p>
        </w:tc>
        <w:tc>
          <w:tcPr>
            <w:tcW w:w="2907" w:type="pct"/>
            <w:vAlign w:val="center"/>
          </w:tcPr>
          <w:p w14:paraId="68B60860">
            <w:pPr>
              <w:snapToGrid w:val="0"/>
              <w:spacing w:line="360" w:lineRule="auto"/>
              <w:rPr>
                <w:rFonts w:hint="eastAsia" w:asciiTheme="minorEastAsia" w:hAnsiTheme="minorEastAsia" w:eastAsiaTheme="minorEastAsia" w:cstheme="minorEastAsia"/>
                <w:snapToGrid w:val="0"/>
                <w:color w:val="auto"/>
                <w:sz w:val="24"/>
                <w:szCs w:val="24"/>
              </w:rPr>
            </w:pPr>
          </w:p>
        </w:tc>
      </w:tr>
      <w:tr w14:paraId="1062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71" w:type="pct"/>
            <w:vAlign w:val="center"/>
          </w:tcPr>
          <w:p w14:paraId="16B179A4">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5</w:t>
            </w:r>
          </w:p>
        </w:tc>
        <w:tc>
          <w:tcPr>
            <w:tcW w:w="1521" w:type="pct"/>
            <w:vAlign w:val="center"/>
          </w:tcPr>
          <w:p w14:paraId="31943DC7">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妇科B超（未婚腹超，已婚阴道B超）</w:t>
            </w:r>
          </w:p>
        </w:tc>
        <w:tc>
          <w:tcPr>
            <w:tcW w:w="2907" w:type="pct"/>
            <w:vAlign w:val="center"/>
          </w:tcPr>
          <w:p w14:paraId="30538D5A">
            <w:pPr>
              <w:snapToGrid w:val="0"/>
              <w:spacing w:line="360" w:lineRule="auto"/>
              <w:rPr>
                <w:rFonts w:hint="eastAsia" w:asciiTheme="minorEastAsia" w:hAnsiTheme="minorEastAsia" w:eastAsiaTheme="minorEastAsia" w:cstheme="minorEastAsia"/>
                <w:snapToGrid w:val="0"/>
                <w:color w:val="auto"/>
                <w:sz w:val="24"/>
                <w:szCs w:val="24"/>
              </w:rPr>
            </w:pPr>
          </w:p>
        </w:tc>
      </w:tr>
      <w:tr w14:paraId="5F29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trPr>
        <w:tc>
          <w:tcPr>
            <w:tcW w:w="571" w:type="pct"/>
            <w:vAlign w:val="center"/>
          </w:tcPr>
          <w:p w14:paraId="2FB6519E">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6</w:t>
            </w:r>
          </w:p>
        </w:tc>
        <w:tc>
          <w:tcPr>
            <w:tcW w:w="1521" w:type="pct"/>
            <w:vAlign w:val="center"/>
          </w:tcPr>
          <w:p w14:paraId="0065D8D1">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淋球菌、梅毒螺旋体、白带常规</w:t>
            </w:r>
          </w:p>
        </w:tc>
        <w:tc>
          <w:tcPr>
            <w:tcW w:w="2907" w:type="pct"/>
            <w:vAlign w:val="center"/>
          </w:tcPr>
          <w:p w14:paraId="72270CF6">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highlight w:val="none"/>
              </w:rPr>
              <w:t>仅幼儿园女教职工妇保所健康证审核要求加做项目。已婚白带常规序号3已有，未婚要求加做白带常规。</w:t>
            </w:r>
          </w:p>
        </w:tc>
      </w:tr>
      <w:tr w14:paraId="3C3C6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trPr>
        <w:tc>
          <w:tcPr>
            <w:tcW w:w="571" w:type="pct"/>
            <w:vAlign w:val="center"/>
          </w:tcPr>
          <w:p w14:paraId="4C2DA0CD">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7</w:t>
            </w:r>
          </w:p>
        </w:tc>
        <w:tc>
          <w:tcPr>
            <w:tcW w:w="1521" w:type="pct"/>
            <w:vAlign w:val="center"/>
          </w:tcPr>
          <w:p w14:paraId="0D7EC07A">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材料+主检</w:t>
            </w:r>
          </w:p>
        </w:tc>
        <w:tc>
          <w:tcPr>
            <w:tcW w:w="2907" w:type="pct"/>
            <w:vAlign w:val="center"/>
          </w:tcPr>
          <w:p w14:paraId="7B9FCB05">
            <w:pPr>
              <w:snapToGrid w:val="0"/>
              <w:spacing w:line="360" w:lineRule="auto"/>
              <w:rPr>
                <w:rFonts w:hint="eastAsia" w:asciiTheme="minorEastAsia" w:hAnsiTheme="minorEastAsia" w:eastAsiaTheme="minorEastAsia" w:cstheme="minorEastAsia"/>
                <w:snapToGrid w:val="0"/>
                <w:color w:val="auto"/>
                <w:sz w:val="24"/>
                <w:szCs w:val="24"/>
              </w:rPr>
            </w:pPr>
          </w:p>
        </w:tc>
      </w:tr>
    </w:tbl>
    <w:p w14:paraId="700100E0">
      <w:pPr>
        <w:snapToGrid w:val="0"/>
        <w:spacing w:line="360" w:lineRule="auto"/>
        <w:rPr>
          <w:rFonts w:hint="eastAsia" w:asciiTheme="minorEastAsia" w:hAnsiTheme="minorEastAsia" w:eastAsiaTheme="minorEastAsia" w:cstheme="minorEastAsia"/>
          <w:b/>
          <w:bCs/>
          <w:snapToGrid w:val="0"/>
          <w:color w:val="auto"/>
          <w:sz w:val="24"/>
          <w:szCs w:val="24"/>
        </w:rPr>
      </w:pPr>
    </w:p>
    <w:p w14:paraId="78D64D29">
      <w:pPr>
        <w:snapToGrid w:val="0"/>
        <w:spacing w:line="360" w:lineRule="auto"/>
        <w:rPr>
          <w:rFonts w:hint="eastAsia" w:asciiTheme="minorEastAsia" w:hAnsiTheme="minorEastAsia" w:eastAsiaTheme="minorEastAsia" w:cstheme="minorEastAsia"/>
          <w:b/>
          <w:bCs/>
          <w:snapToGrid w:val="0"/>
          <w:color w:val="auto"/>
          <w:sz w:val="24"/>
          <w:szCs w:val="24"/>
        </w:rPr>
      </w:pPr>
      <w:r>
        <w:rPr>
          <w:rFonts w:hint="eastAsia" w:asciiTheme="minorEastAsia" w:hAnsiTheme="minorEastAsia" w:eastAsiaTheme="minorEastAsia" w:cstheme="minorEastAsia"/>
          <w:b/>
          <w:bCs/>
          <w:snapToGrid w:val="0"/>
          <w:color w:val="auto"/>
          <w:sz w:val="24"/>
          <w:szCs w:val="24"/>
        </w:rPr>
        <w:t>（</w:t>
      </w:r>
      <w:r>
        <w:rPr>
          <w:rFonts w:hint="eastAsia" w:asciiTheme="minorEastAsia" w:hAnsiTheme="minorEastAsia" w:eastAsiaTheme="minorEastAsia" w:cstheme="minorEastAsia"/>
          <w:b/>
          <w:bCs/>
          <w:snapToGrid w:val="0"/>
          <w:color w:val="auto"/>
          <w:sz w:val="24"/>
          <w:szCs w:val="24"/>
          <w:lang w:val="en-US" w:eastAsia="zh-CN"/>
        </w:rPr>
        <w:t>三</w:t>
      </w:r>
      <w:r>
        <w:rPr>
          <w:rFonts w:hint="eastAsia" w:asciiTheme="minorEastAsia" w:hAnsiTheme="minorEastAsia" w:eastAsiaTheme="minorEastAsia" w:cstheme="minorEastAsia"/>
          <w:b/>
          <w:bCs/>
          <w:snapToGrid w:val="0"/>
          <w:color w:val="auto"/>
          <w:sz w:val="24"/>
          <w:szCs w:val="24"/>
        </w:rPr>
        <w:t>）赠送体检项目表</w:t>
      </w:r>
    </w:p>
    <w:tbl>
      <w:tblPr>
        <w:tblStyle w:val="12"/>
        <w:tblW w:w="49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3887"/>
        <w:gridCol w:w="3692"/>
      </w:tblGrid>
      <w:tr w14:paraId="50330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539" w:type="pct"/>
            <w:vAlign w:val="center"/>
          </w:tcPr>
          <w:p w14:paraId="505B2750">
            <w:pPr>
              <w:snapToGrid w:val="0"/>
              <w:spacing w:line="360" w:lineRule="auto"/>
              <w:jc w:val="center"/>
              <w:rPr>
                <w:rFonts w:hint="eastAsia" w:asciiTheme="minorEastAsia" w:hAnsiTheme="minorEastAsia" w:eastAsiaTheme="minorEastAsia" w:cstheme="minorEastAsia"/>
                <w:snapToGrid w:val="0"/>
                <w:color w:val="auto"/>
                <w:sz w:val="24"/>
                <w:szCs w:val="24"/>
              </w:rPr>
            </w:pPr>
            <w:bookmarkStart w:id="2" w:name="_Hlk217317043"/>
            <w:r>
              <w:rPr>
                <w:rFonts w:hint="eastAsia" w:asciiTheme="minorEastAsia" w:hAnsiTheme="minorEastAsia" w:eastAsiaTheme="minorEastAsia" w:cstheme="minorEastAsia"/>
                <w:snapToGrid w:val="0"/>
                <w:color w:val="auto"/>
                <w:sz w:val="24"/>
                <w:szCs w:val="24"/>
              </w:rPr>
              <w:t>序号</w:t>
            </w:r>
          </w:p>
        </w:tc>
        <w:tc>
          <w:tcPr>
            <w:tcW w:w="2287" w:type="pct"/>
            <w:vAlign w:val="center"/>
          </w:tcPr>
          <w:p w14:paraId="540006FF">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体检项目</w:t>
            </w:r>
          </w:p>
        </w:tc>
        <w:tc>
          <w:tcPr>
            <w:tcW w:w="2172" w:type="pct"/>
            <w:vAlign w:val="center"/>
          </w:tcPr>
          <w:p w14:paraId="41540AE6">
            <w:pPr>
              <w:snapToGrid w:val="0"/>
              <w:spacing w:line="360" w:lineRule="auto"/>
              <w:jc w:val="center"/>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测定方法</w:t>
            </w:r>
          </w:p>
        </w:tc>
      </w:tr>
      <w:tr w14:paraId="2ACFB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539" w:type="pct"/>
            <w:vAlign w:val="center"/>
          </w:tcPr>
          <w:p w14:paraId="4FEF217F">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1</w:t>
            </w:r>
          </w:p>
        </w:tc>
        <w:tc>
          <w:tcPr>
            <w:tcW w:w="2287" w:type="pct"/>
            <w:vAlign w:val="center"/>
          </w:tcPr>
          <w:p w14:paraId="23E4F24F">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神经元特异性烯醇化酶测定(NSE)</w:t>
            </w:r>
          </w:p>
        </w:tc>
        <w:tc>
          <w:tcPr>
            <w:tcW w:w="2172" w:type="pct"/>
            <w:vAlign w:val="center"/>
          </w:tcPr>
          <w:p w14:paraId="5EA2E8F4">
            <w:pPr>
              <w:snapToGrid w:val="0"/>
              <w:spacing w:line="360" w:lineRule="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t>化学发光法、荧光免疫法</w:t>
            </w:r>
          </w:p>
        </w:tc>
      </w:tr>
      <w:bookmarkEnd w:id="2"/>
    </w:tbl>
    <w:p w14:paraId="50DAFE80">
      <w:pPr>
        <w:adjustRightInd w:val="0"/>
        <w:snapToGrid w:val="0"/>
        <w:spacing w:line="300" w:lineRule="auto"/>
        <w:rPr>
          <w:rFonts w:hint="eastAsia" w:ascii="仿宋_GB2312" w:hAnsi="Calibri" w:eastAsia="仿宋_GB2312"/>
          <w:sz w:val="30"/>
          <w:szCs w:val="30"/>
        </w:rPr>
      </w:pPr>
    </w:p>
    <w:sectPr>
      <w:footerReference r:id="rId4" w:type="first"/>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50F1DDD-BF2C-4714-8B5C-8D0FB8423B5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06D1FB67-0EEE-4F29-9C2A-69BB1F7D1250}"/>
  </w:font>
  <w:font w:name="金山简魏碑">
    <w:altName w:val="宋体"/>
    <w:panose1 w:val="00000000000000000000"/>
    <w:charset w:val="86"/>
    <w:family w:val="modern"/>
    <w:pitch w:val="default"/>
    <w:sig w:usb0="00000000" w:usb1="00000000" w:usb2="00000010" w:usb3="00000000" w:csb0="00040000" w:csb1="00000000"/>
  </w:font>
  <w:font w:name="方正小标宋简体">
    <w:panose1 w:val="02000000000000000000"/>
    <w:charset w:val="86"/>
    <w:family w:val="script"/>
    <w:pitch w:val="default"/>
    <w:sig w:usb0="00000001" w:usb1="08000000" w:usb2="00000000" w:usb3="00000000" w:csb0="00040000" w:csb1="00000000"/>
    <w:embedRegular r:id="rId3" w:fontKey="{99B039F6-7671-48B1-9A35-53A253444137}"/>
  </w:font>
  <w:font w:name="仿宋_GB2312">
    <w:altName w:val="仿宋"/>
    <w:panose1 w:val="02010609030101010101"/>
    <w:charset w:val="86"/>
    <w:family w:val="modern"/>
    <w:pitch w:val="default"/>
    <w:sig w:usb0="00000000" w:usb1="00000000" w:usb2="00000000" w:usb3="00000000" w:csb0="00040000" w:csb1="00000000"/>
    <w:embedRegular r:id="rId4" w:fontKey="{65F0B459-DD56-4A5F-97E7-C6A62FD70815}"/>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DD635">
    <w:pPr>
      <w:pStyle w:val="7"/>
      <w:jc w:val="center"/>
    </w:pPr>
    <w:r>
      <w:fldChar w:fldCharType="begin"/>
    </w:r>
    <w:r>
      <w:instrText xml:space="preserve"> PAGE   \* MERGEFORMAT </w:instrText>
    </w:r>
    <w:r>
      <w:fldChar w:fldCharType="separate"/>
    </w:r>
    <w:r>
      <w:rPr>
        <w:lang w:val="zh-CN"/>
      </w:rPr>
      <w:t>10</w:t>
    </w:r>
    <w:r>
      <w:fldChar w:fldCharType="end"/>
    </w:r>
  </w:p>
  <w:p w14:paraId="2A004936">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8A2FE">
    <w:pPr>
      <w:pStyle w:val="7"/>
      <w:jc w:val="center"/>
    </w:pPr>
    <w:r>
      <w:fldChar w:fldCharType="begin"/>
    </w:r>
    <w:r>
      <w:instrText xml:space="preserve"> PAGE   \* MERGEFORMAT </w:instrText>
    </w:r>
    <w:r>
      <w:fldChar w:fldCharType="separate"/>
    </w:r>
    <w:r>
      <w:rPr>
        <w:lang w:val="zh-CN"/>
      </w:rPr>
      <w:t>1</w:t>
    </w:r>
    <w:r>
      <w:fldChar w:fldCharType="end"/>
    </w:r>
  </w:p>
  <w:p w14:paraId="4C03885E">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9470217"/>
    <w:multiLevelType w:val="singleLevel"/>
    <w:tmpl w:val="79470217"/>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1YzU5ZDQ2NzNkYjI2MmM4MDExYzkwOWQ5YmMzZmEifQ=="/>
  </w:docVars>
  <w:rsids>
    <w:rsidRoot w:val="00110905"/>
    <w:rsid w:val="00024E75"/>
    <w:rsid w:val="0003118C"/>
    <w:rsid w:val="00056727"/>
    <w:rsid w:val="000738E6"/>
    <w:rsid w:val="000D245A"/>
    <w:rsid w:val="000D6E77"/>
    <w:rsid w:val="00110905"/>
    <w:rsid w:val="0013416C"/>
    <w:rsid w:val="00152745"/>
    <w:rsid w:val="001702FB"/>
    <w:rsid w:val="001D0195"/>
    <w:rsid w:val="001D6C02"/>
    <w:rsid w:val="00323F9E"/>
    <w:rsid w:val="00387F1C"/>
    <w:rsid w:val="00393D39"/>
    <w:rsid w:val="0053607E"/>
    <w:rsid w:val="00556107"/>
    <w:rsid w:val="00580B08"/>
    <w:rsid w:val="007467F1"/>
    <w:rsid w:val="007660F0"/>
    <w:rsid w:val="00766529"/>
    <w:rsid w:val="00835CEC"/>
    <w:rsid w:val="00975BAF"/>
    <w:rsid w:val="009B375B"/>
    <w:rsid w:val="00A00ACA"/>
    <w:rsid w:val="00A73509"/>
    <w:rsid w:val="00C04E99"/>
    <w:rsid w:val="00C43170"/>
    <w:rsid w:val="00D501A0"/>
    <w:rsid w:val="00F56DAF"/>
    <w:rsid w:val="00FA678E"/>
    <w:rsid w:val="01330A63"/>
    <w:rsid w:val="02822588"/>
    <w:rsid w:val="02B109AD"/>
    <w:rsid w:val="061C6A74"/>
    <w:rsid w:val="06EB3FD6"/>
    <w:rsid w:val="0B737155"/>
    <w:rsid w:val="0BBE224C"/>
    <w:rsid w:val="0C091044"/>
    <w:rsid w:val="0D774F56"/>
    <w:rsid w:val="11014CEC"/>
    <w:rsid w:val="16994739"/>
    <w:rsid w:val="17D42F62"/>
    <w:rsid w:val="18023FB5"/>
    <w:rsid w:val="1AB53561"/>
    <w:rsid w:val="1DAB4D3C"/>
    <w:rsid w:val="1FB3458D"/>
    <w:rsid w:val="26E57523"/>
    <w:rsid w:val="2AA169A7"/>
    <w:rsid w:val="2CB342D8"/>
    <w:rsid w:val="3049001C"/>
    <w:rsid w:val="391024F2"/>
    <w:rsid w:val="397F500E"/>
    <w:rsid w:val="3B2F047B"/>
    <w:rsid w:val="41FA16D6"/>
    <w:rsid w:val="46113237"/>
    <w:rsid w:val="47800FA2"/>
    <w:rsid w:val="4BB40B47"/>
    <w:rsid w:val="4F6757F8"/>
    <w:rsid w:val="51235573"/>
    <w:rsid w:val="561A2602"/>
    <w:rsid w:val="580F0E29"/>
    <w:rsid w:val="586F2E4E"/>
    <w:rsid w:val="589943B6"/>
    <w:rsid w:val="592165C4"/>
    <w:rsid w:val="5C316A01"/>
    <w:rsid w:val="5C7B120D"/>
    <w:rsid w:val="5F976163"/>
    <w:rsid w:val="602542CE"/>
    <w:rsid w:val="62F06CF0"/>
    <w:rsid w:val="63B653CC"/>
    <w:rsid w:val="64044B6E"/>
    <w:rsid w:val="64202DC6"/>
    <w:rsid w:val="684E66E6"/>
    <w:rsid w:val="6A6B0B13"/>
    <w:rsid w:val="6F2475ED"/>
    <w:rsid w:val="75AF0C4C"/>
    <w:rsid w:val="76792915"/>
    <w:rsid w:val="786345D5"/>
    <w:rsid w:val="7A1B640C"/>
    <w:rsid w:val="7C5F4528"/>
    <w:rsid w:val="7CEA1D6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3">
    <w:name w:val="Default Paragraph Font"/>
    <w:unhideWhenUsed/>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36"/>
      <w:ind w:left="120"/>
    </w:pPr>
    <w:rPr>
      <w:rFonts w:ascii="宋体" w:hAnsi="宋体" w:eastAsia="宋体"/>
      <w:sz w:val="24"/>
      <w:szCs w:val="24"/>
    </w:rPr>
  </w:style>
  <w:style w:type="paragraph" w:styleId="3">
    <w:name w:val="Body Text Indent"/>
    <w:basedOn w:val="1"/>
    <w:unhideWhenUsed/>
    <w:qFormat/>
    <w:uiPriority w:val="99"/>
    <w:pPr>
      <w:spacing w:after="120"/>
      <w:ind w:left="420" w:leftChars="200"/>
    </w:pPr>
  </w:style>
  <w:style w:type="paragraph" w:styleId="4">
    <w:name w:val="index 4"/>
    <w:basedOn w:val="1"/>
    <w:next w:val="1"/>
    <w:qFormat/>
    <w:uiPriority w:val="0"/>
    <w:pPr>
      <w:autoSpaceDE/>
      <w:autoSpaceDN/>
      <w:adjustRightInd/>
      <w:spacing w:line="360" w:lineRule="auto"/>
      <w:ind w:left="600" w:leftChars="600"/>
      <w:jc w:val="both"/>
    </w:pPr>
    <w:rPr>
      <w:rFonts w:ascii="Times New Roman"/>
      <w:kern w:val="2"/>
      <w:sz w:val="24"/>
      <w:szCs w:val="24"/>
    </w:rPr>
  </w:style>
  <w:style w:type="paragraph" w:styleId="5">
    <w:name w:val="Plain Text"/>
    <w:basedOn w:val="1"/>
    <w:qFormat/>
    <w:uiPriority w:val="99"/>
    <w:rPr>
      <w:rFonts w:ascii="宋体" w:hAnsi="Courier New" w:cs="金山简魏碑"/>
      <w:szCs w:val="21"/>
    </w:rPr>
  </w:style>
  <w:style w:type="paragraph" w:styleId="6">
    <w:name w:val="Balloon Text"/>
    <w:basedOn w:val="1"/>
    <w:link w:val="16"/>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10">
    <w:name w:val="Body Text First Indent"/>
    <w:basedOn w:val="2"/>
    <w:qFormat/>
    <w:uiPriority w:val="0"/>
    <w:pPr>
      <w:ind w:firstLine="420"/>
    </w:pPr>
  </w:style>
  <w:style w:type="paragraph" w:styleId="11">
    <w:name w:val="Body Text First Indent 2"/>
    <w:basedOn w:val="3"/>
    <w:unhideWhenUsed/>
    <w:qFormat/>
    <w:uiPriority w:val="99"/>
    <w:pPr>
      <w:ind w:firstLine="420" w:firstLineChars="200"/>
    </w:pPr>
  </w:style>
  <w:style w:type="character" w:styleId="14">
    <w:name w:val="Strong"/>
    <w:qFormat/>
    <w:uiPriority w:val="22"/>
    <w:rPr>
      <w:b/>
    </w:rPr>
  </w:style>
  <w:style w:type="character" w:styleId="15">
    <w:name w:val="page number"/>
    <w:qFormat/>
    <w:uiPriority w:val="0"/>
  </w:style>
  <w:style w:type="character" w:customStyle="1" w:styleId="16">
    <w:name w:val="批注框文本 Char"/>
    <w:link w:val="6"/>
    <w:qFormat/>
    <w:uiPriority w:val="0"/>
    <w:rPr>
      <w:kern w:val="2"/>
      <w:sz w:val="18"/>
      <w:szCs w:val="18"/>
    </w:rPr>
  </w:style>
  <w:style w:type="character" w:customStyle="1" w:styleId="17">
    <w:name w:val="页眉 Char"/>
    <w:link w:val="8"/>
    <w:qFormat/>
    <w:uiPriority w:val="0"/>
    <w:rPr>
      <w:kern w:val="2"/>
      <w:sz w:val="18"/>
      <w:szCs w:val="18"/>
    </w:rPr>
  </w:style>
  <w:style w:type="paragraph" w:styleId="18">
    <w:name w:val="List Paragraph"/>
    <w:basedOn w:val="1"/>
    <w:qFormat/>
    <w:uiPriority w:val="34"/>
    <w:pPr>
      <w:ind w:firstLine="420" w:firstLineChars="200"/>
    </w:pPr>
  </w:style>
  <w:style w:type="character" w:customStyle="1" w:styleId="19">
    <w:name w:val="15"/>
    <w:basedOn w:val="13"/>
    <w:qFormat/>
    <w:uiPriority w:val="0"/>
    <w:rPr>
      <w:rFonts w:hint="default" w:ascii="Calibri" w:hAnsi="Calibri"/>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17</Pages>
  <Words>3729</Words>
  <Characters>3950</Characters>
  <Lines>25</Lines>
  <Paragraphs>7</Paragraphs>
  <TotalTime>13</TotalTime>
  <ScaleCrop>false</ScaleCrop>
  <LinksUpToDate>false</LinksUpToDate>
  <CharactersWithSpaces>3972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2023-05-26T07:14:00Z</dcterms:created>
  <dc:creator>longx</dc:creator>
  <cp:lastModifiedBy>杨静静</cp:lastModifiedBy>
  <cp:lastPrinted>2023-05-23T06:48:00Z</cp:lastPrinted>
  <dcterms:modified xsi:type="dcterms:W3CDTF">2026-03-13T00:31:06Z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F6E2CE0DB0BB4072801509AABDDE12F3_13</vt:lpwstr>
  </property>
  <property fmtid="{D5CDD505-2E9C-101B-9397-08002B2CF9AE}" pid="4" name="KSOTemplateDocerSaveRecord">
    <vt:lpwstr>eyJoZGlkIjoiNjc1YzU5ZDQ2NzNkYjI2MmM4MDExYzkwOWQ5YmMzZmEiLCJ1c2VySWQiOiI0MzA0MTMwMTAifQ==</vt:lpwstr>
  </property>
</Properties>
</file>